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52B91" w14:textId="77BE7CDB" w:rsidR="00DD1E47" w:rsidRPr="00453CFC" w:rsidRDefault="002C6D7E" w:rsidP="0064005C">
      <w:pPr>
        <w:pStyle w:val="BodyText"/>
        <w:tabs>
          <w:tab w:val="left" w:pos="6016"/>
        </w:tabs>
        <w:spacing w:line="360" w:lineRule="auto"/>
        <w:rPr>
          <w:rFonts w:cstheme="minorHAnsi"/>
          <w:sz w:val="19"/>
          <w:szCs w:val="19"/>
        </w:rPr>
      </w:pPr>
      <w:r w:rsidRPr="00453CFC">
        <w:rPr>
          <w:rFonts w:cstheme="minorHAnsi"/>
          <w:noProof/>
          <w:sz w:val="19"/>
          <w:szCs w:val="19"/>
          <w:lang w:eastAsia="en-GB" w:bidi="th-TH"/>
        </w:rPr>
        <mc:AlternateContent>
          <mc:Choice Requires="wps">
            <w:drawing>
              <wp:anchor distT="0" distB="0" distL="114300" distR="114300" simplePos="0" relativeHeight="251657728" behindDoc="1" locked="0" layoutInCell="1" allowOverlap="1" wp14:anchorId="1607CEFC" wp14:editId="23D9AC10">
                <wp:simplePos x="0" y="0"/>
                <wp:positionH relativeFrom="page">
                  <wp:posOffset>5722620</wp:posOffset>
                </wp:positionH>
                <wp:positionV relativeFrom="page">
                  <wp:posOffset>2354580</wp:posOffset>
                </wp:positionV>
                <wp:extent cx="1264920" cy="1203960"/>
                <wp:effectExtent l="0" t="0" r="1143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0"/>
                            </w:tblGrid>
                            <w:tr w:rsidR="009C5156" w14:paraId="005043CD" w14:textId="77777777" w:rsidTr="00AD2B69">
                              <w:trPr>
                                <w:trHeight w:val="3969"/>
                              </w:trPr>
                              <w:tc>
                                <w:tcPr>
                                  <w:tcW w:w="1980" w:type="dxa"/>
                                  <w:tcBorders>
                                    <w:top w:val="single" w:sz="12" w:space="0" w:color="4F2D7F" w:themeColor="accent1"/>
                                    <w:left w:val="nil"/>
                                    <w:bottom w:val="nil"/>
                                    <w:right w:val="nil"/>
                                  </w:tcBorders>
                                </w:tcPr>
                                <w:p w14:paraId="21278DE9" w14:textId="77777777" w:rsidR="009C5156" w:rsidRDefault="009C5156">
                                  <w:pPr>
                                    <w:pStyle w:val="TradingName"/>
                                    <w:spacing w:before="80"/>
                                    <w:rPr>
                                      <w:sz w:val="14"/>
                                      <w:szCs w:val="14"/>
                                      <w:lang w:val="en-US"/>
                                    </w:rPr>
                                  </w:pPr>
                                  <w:r>
                                    <w:rPr>
                                      <w:sz w:val="14"/>
                                      <w:szCs w:val="14"/>
                                      <w:lang w:val="en-US"/>
                                    </w:rPr>
                                    <w:t>Grant Thornton Limited</w:t>
                                  </w:r>
                                </w:p>
                                <w:p w14:paraId="057BDC4B" w14:textId="77777777" w:rsidR="009C5156" w:rsidRDefault="009C5156">
                                  <w:pPr>
                                    <w:pStyle w:val="PartnerAddress"/>
                                    <w:rPr>
                                      <w:sz w:val="14"/>
                                      <w:szCs w:val="14"/>
                                      <w:lang w:val="en-US"/>
                                    </w:rPr>
                                  </w:pPr>
                                  <w:r>
                                    <w:rPr>
                                      <w:sz w:val="14"/>
                                      <w:szCs w:val="14"/>
                                      <w:lang w:val="en-US"/>
                                    </w:rPr>
                                    <w:t>11th Floor, Capital Tower</w:t>
                                  </w:r>
                                </w:p>
                                <w:p w14:paraId="7BBEE902" w14:textId="77777777" w:rsidR="009C5156" w:rsidRDefault="009C5156">
                                  <w:pPr>
                                    <w:pStyle w:val="PartnerAddress"/>
                                    <w:rPr>
                                      <w:sz w:val="14"/>
                                      <w:szCs w:val="14"/>
                                      <w:lang w:val="en-US"/>
                                    </w:rPr>
                                  </w:pPr>
                                  <w:r>
                                    <w:rPr>
                                      <w:sz w:val="14"/>
                                      <w:szCs w:val="14"/>
                                      <w:lang w:val="en-US"/>
                                    </w:rPr>
                                    <w:t>All Seasons Place</w:t>
                                  </w:r>
                                </w:p>
                                <w:p w14:paraId="65FDE1AB" w14:textId="77777777" w:rsidR="009C5156" w:rsidRDefault="009C5156">
                                  <w:pPr>
                                    <w:pStyle w:val="PartnerAddress"/>
                                    <w:rPr>
                                      <w:sz w:val="14"/>
                                      <w:szCs w:val="14"/>
                                      <w:lang w:val="en-US"/>
                                    </w:rPr>
                                  </w:pPr>
                                  <w:r>
                                    <w:rPr>
                                      <w:sz w:val="14"/>
                                      <w:szCs w:val="14"/>
                                      <w:lang w:val="en-US"/>
                                    </w:rPr>
                                    <w:t>87/1 Wireless Road</w:t>
                                  </w:r>
                                </w:p>
                                <w:p w14:paraId="57C74558" w14:textId="77777777" w:rsidR="009C5156" w:rsidRDefault="009C5156">
                                  <w:pPr>
                                    <w:pStyle w:val="PartnerAddress"/>
                                    <w:rPr>
                                      <w:sz w:val="14"/>
                                      <w:szCs w:val="14"/>
                                      <w:lang w:val="en-US"/>
                                    </w:rPr>
                                  </w:pPr>
                                  <w:r>
                                    <w:rPr>
                                      <w:sz w:val="14"/>
                                      <w:szCs w:val="14"/>
                                      <w:lang w:val="en-US"/>
                                    </w:rPr>
                                    <w:t>Lumpini, Pathumwan</w:t>
                                  </w:r>
                                </w:p>
                                <w:p w14:paraId="12BC3436" w14:textId="77777777" w:rsidR="009C5156" w:rsidRDefault="009C5156">
                                  <w:pPr>
                                    <w:pStyle w:val="PartnerAddress"/>
                                    <w:rPr>
                                      <w:sz w:val="14"/>
                                      <w:szCs w:val="14"/>
                                      <w:lang w:val="en-US"/>
                                    </w:rPr>
                                  </w:pPr>
                                  <w:r>
                                    <w:rPr>
                                      <w:sz w:val="14"/>
                                      <w:szCs w:val="14"/>
                                      <w:lang w:val="en-US"/>
                                    </w:rPr>
                                    <w:t>Bangkok 10330, Thailand</w:t>
                                  </w:r>
                                </w:p>
                                <w:p w14:paraId="592BBD07" w14:textId="77777777" w:rsidR="009C5156" w:rsidRDefault="009C5156">
                                  <w:pPr>
                                    <w:pStyle w:val="HalfLineBreak"/>
                                    <w:rPr>
                                      <w:sz w:val="14"/>
                                      <w:szCs w:val="14"/>
                                      <w:lang w:val="en-US"/>
                                    </w:rPr>
                                  </w:pPr>
                                </w:p>
                                <w:p w14:paraId="7DFFA555" w14:textId="77777777" w:rsidR="009C5156" w:rsidRDefault="009C5156" w:rsidP="005D7142">
                                  <w:pPr>
                                    <w:pStyle w:val="PartnerAddress"/>
                                    <w:spacing w:line="276" w:lineRule="auto"/>
                                    <w:rPr>
                                      <w:sz w:val="14"/>
                                      <w:szCs w:val="14"/>
                                      <w:lang w:val="en-US"/>
                                    </w:rPr>
                                  </w:pPr>
                                  <w:r>
                                    <w:rPr>
                                      <w:sz w:val="14"/>
                                      <w:szCs w:val="14"/>
                                      <w:lang w:val="en-US"/>
                                    </w:rPr>
                                    <w:t>T +66 2 205 8222</w:t>
                                  </w:r>
                                </w:p>
                                <w:p w14:paraId="5376AE61" w14:textId="77777777" w:rsidR="009C5156" w:rsidRDefault="009C5156" w:rsidP="005D7142">
                                  <w:pPr>
                                    <w:spacing w:after="0" w:line="276" w:lineRule="auto"/>
                                    <w:rPr>
                                      <w:sz w:val="14"/>
                                      <w:szCs w:val="14"/>
                                      <w:lang w:val="en-US"/>
                                    </w:rPr>
                                  </w:pPr>
                                  <w:r>
                                    <w:rPr>
                                      <w:sz w:val="14"/>
                                      <w:szCs w:val="14"/>
                                      <w:lang w:val="en-US"/>
                                    </w:rPr>
                                    <w:t>F +66 2 654 3339</w:t>
                                  </w:r>
                                </w:p>
                                <w:p w14:paraId="0B0CACDD" w14:textId="77777777" w:rsidR="009C5156" w:rsidRDefault="009C5156">
                                  <w:pPr>
                                    <w:pStyle w:val="PartnerAddress"/>
                                    <w:rPr>
                                      <w:lang w:val="en-US"/>
                                    </w:rPr>
                                  </w:pPr>
                                </w:p>
                              </w:tc>
                            </w:tr>
                          </w:tbl>
                          <w:p w14:paraId="2245B4B7" w14:textId="77777777" w:rsidR="009C5156" w:rsidRDefault="009C5156" w:rsidP="009C5156"/>
                          <w:p w14:paraId="67328E85" w14:textId="77777777" w:rsidR="009C5156" w:rsidRDefault="009C5156" w:rsidP="009C51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7CEFC" id="_x0000_t202" coordsize="21600,21600" o:spt="202" path="m,l,21600r21600,l21600,xe">
                <v:stroke joinstyle="miter"/>
                <v:path gradientshapeok="t" o:connecttype="rect"/>
              </v:shapetype>
              <v:shape id="Text Box 5" o:spid="_x0000_s1026" type="#_x0000_t202" style="position:absolute;margin-left:450.6pt;margin-top:185.4pt;width:99.6pt;height:9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" filled="f" stroked="f">
                <v:textbox inset="0,0,0,0">
                  <w:txbxContent>
                    <w:tbl>
                      <w:tblPr>
                        <w:tblStyle w:val="TableGrid"/>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0"/>
                      </w:tblGrid>
                      <w:tr w:rsidR="009C5156" w14:paraId="005043CD" w14:textId="77777777" w:rsidTr="00AD2B69">
                        <w:trPr>
                          <w:trHeight w:val="3969"/>
                        </w:trPr>
                        <w:tc>
                          <w:tcPr>
                            <w:tcW w:w="1980" w:type="dxa"/>
                            <w:tcBorders>
                              <w:top w:val="single" w:sz="12" w:space="0" w:color="4F2D7F" w:themeColor="accent1"/>
                              <w:left w:val="nil"/>
                              <w:bottom w:val="nil"/>
                              <w:right w:val="nil"/>
                            </w:tcBorders>
                          </w:tcPr>
                          <w:p w14:paraId="21278DE9" w14:textId="77777777" w:rsidR="009C5156" w:rsidRDefault="009C5156">
                            <w:pPr>
                              <w:pStyle w:val="TradingName"/>
                              <w:spacing w:before="80"/>
                              <w:rPr>
                                <w:sz w:val="14"/>
                                <w:szCs w:val="14"/>
                                <w:lang w:val="en-US"/>
                              </w:rPr>
                            </w:pPr>
                            <w:r>
                              <w:rPr>
                                <w:sz w:val="14"/>
                                <w:szCs w:val="14"/>
                                <w:lang w:val="en-US"/>
                              </w:rPr>
                              <w:t>Grant Thornton Limited</w:t>
                            </w:r>
                          </w:p>
                          <w:p w14:paraId="057BDC4B" w14:textId="77777777" w:rsidR="009C5156" w:rsidRDefault="009C5156">
                            <w:pPr>
                              <w:pStyle w:val="PartnerAddress"/>
                              <w:rPr>
                                <w:sz w:val="14"/>
                                <w:szCs w:val="14"/>
                                <w:lang w:val="en-US"/>
                              </w:rPr>
                            </w:pPr>
                            <w:r>
                              <w:rPr>
                                <w:sz w:val="14"/>
                                <w:szCs w:val="14"/>
                                <w:lang w:val="en-US"/>
                              </w:rPr>
                              <w:t>11th Floor, Capital Tower</w:t>
                            </w:r>
                          </w:p>
                          <w:p w14:paraId="7BBEE902" w14:textId="77777777" w:rsidR="009C5156" w:rsidRDefault="009C5156">
                            <w:pPr>
                              <w:pStyle w:val="PartnerAddress"/>
                              <w:rPr>
                                <w:sz w:val="14"/>
                                <w:szCs w:val="14"/>
                                <w:lang w:val="en-US"/>
                              </w:rPr>
                            </w:pPr>
                            <w:r>
                              <w:rPr>
                                <w:sz w:val="14"/>
                                <w:szCs w:val="14"/>
                                <w:lang w:val="en-US"/>
                              </w:rPr>
                              <w:t>All Seasons Place</w:t>
                            </w:r>
                          </w:p>
                          <w:p w14:paraId="65FDE1AB" w14:textId="77777777" w:rsidR="009C5156" w:rsidRDefault="009C5156">
                            <w:pPr>
                              <w:pStyle w:val="PartnerAddress"/>
                              <w:rPr>
                                <w:sz w:val="14"/>
                                <w:szCs w:val="14"/>
                                <w:lang w:val="en-US"/>
                              </w:rPr>
                            </w:pPr>
                            <w:r>
                              <w:rPr>
                                <w:sz w:val="14"/>
                                <w:szCs w:val="14"/>
                                <w:lang w:val="en-US"/>
                              </w:rPr>
                              <w:t>87/1 Wireless Road</w:t>
                            </w:r>
                          </w:p>
                          <w:p w14:paraId="57C74558" w14:textId="77777777" w:rsidR="009C5156" w:rsidRDefault="009C5156">
                            <w:pPr>
                              <w:pStyle w:val="PartnerAddress"/>
                              <w:rPr>
                                <w:sz w:val="14"/>
                                <w:szCs w:val="14"/>
                                <w:lang w:val="en-US"/>
                              </w:rPr>
                            </w:pPr>
                            <w:r>
                              <w:rPr>
                                <w:sz w:val="14"/>
                                <w:szCs w:val="14"/>
                                <w:lang w:val="en-US"/>
                              </w:rPr>
                              <w:t>Lumpini, Pathumwan</w:t>
                            </w:r>
                          </w:p>
                          <w:p w14:paraId="12BC3436" w14:textId="77777777" w:rsidR="009C5156" w:rsidRDefault="009C5156">
                            <w:pPr>
                              <w:pStyle w:val="PartnerAddress"/>
                              <w:rPr>
                                <w:sz w:val="14"/>
                                <w:szCs w:val="14"/>
                                <w:lang w:val="en-US"/>
                              </w:rPr>
                            </w:pPr>
                            <w:r>
                              <w:rPr>
                                <w:sz w:val="14"/>
                                <w:szCs w:val="14"/>
                                <w:lang w:val="en-US"/>
                              </w:rPr>
                              <w:t>Bangkok 10330, Thailand</w:t>
                            </w:r>
                          </w:p>
                          <w:p w14:paraId="592BBD07" w14:textId="77777777" w:rsidR="009C5156" w:rsidRDefault="009C5156">
                            <w:pPr>
                              <w:pStyle w:val="HalfLineBreak"/>
                              <w:rPr>
                                <w:sz w:val="14"/>
                                <w:szCs w:val="14"/>
                                <w:lang w:val="en-US"/>
                              </w:rPr>
                            </w:pPr>
                          </w:p>
                          <w:p w14:paraId="7DFFA555" w14:textId="77777777" w:rsidR="009C5156" w:rsidRDefault="009C5156" w:rsidP="005D7142">
                            <w:pPr>
                              <w:pStyle w:val="PartnerAddress"/>
                              <w:spacing w:line="276" w:lineRule="auto"/>
                              <w:rPr>
                                <w:sz w:val="14"/>
                                <w:szCs w:val="14"/>
                                <w:lang w:val="en-US"/>
                              </w:rPr>
                            </w:pPr>
                            <w:r>
                              <w:rPr>
                                <w:sz w:val="14"/>
                                <w:szCs w:val="14"/>
                                <w:lang w:val="en-US"/>
                              </w:rPr>
                              <w:t>T +66 2 205 8222</w:t>
                            </w:r>
                          </w:p>
                          <w:p w14:paraId="5376AE61" w14:textId="77777777" w:rsidR="009C5156" w:rsidRDefault="009C5156" w:rsidP="005D7142">
                            <w:pPr>
                              <w:spacing w:after="0" w:line="276" w:lineRule="auto"/>
                              <w:rPr>
                                <w:sz w:val="14"/>
                                <w:szCs w:val="14"/>
                                <w:lang w:val="en-US"/>
                              </w:rPr>
                            </w:pPr>
                            <w:r>
                              <w:rPr>
                                <w:sz w:val="14"/>
                                <w:szCs w:val="14"/>
                                <w:lang w:val="en-US"/>
                              </w:rPr>
                              <w:t>F +66 2 654 3339</w:t>
                            </w:r>
                          </w:p>
                          <w:p w14:paraId="0B0CACDD" w14:textId="77777777" w:rsidR="009C5156" w:rsidRDefault="009C5156">
                            <w:pPr>
                              <w:pStyle w:val="PartnerAddress"/>
                              <w:rPr>
                                <w:lang w:val="en-US"/>
                              </w:rPr>
                            </w:pPr>
                          </w:p>
                        </w:tc>
                      </w:tr>
                    </w:tbl>
                    <w:p w14:paraId="2245B4B7" w14:textId="77777777" w:rsidR="009C5156" w:rsidRDefault="009C5156" w:rsidP="009C5156"/>
                    <w:p w14:paraId="67328E85" w14:textId="77777777" w:rsidR="009C5156" w:rsidRDefault="009C5156" w:rsidP="009C5156"/>
                  </w:txbxContent>
                </v:textbox>
                <w10:wrap anchorx="page" anchory="page"/>
              </v:shape>
            </w:pict>
          </mc:Fallback>
        </mc:AlternateContent>
      </w:r>
      <w:r w:rsidR="00630193" w:rsidRPr="00453CFC">
        <w:rPr>
          <w:rFonts w:cstheme="minorHAnsi"/>
          <w:sz w:val="19"/>
          <w:szCs w:val="19"/>
        </w:rPr>
        <w:tab/>
      </w:r>
    </w:p>
    <w:p w14:paraId="54D5244E" w14:textId="66C391D5" w:rsidR="00D15EA5" w:rsidRPr="00453CFC" w:rsidRDefault="00630193" w:rsidP="0064005C">
      <w:pPr>
        <w:pStyle w:val="BodyText"/>
        <w:tabs>
          <w:tab w:val="left" w:pos="6078"/>
        </w:tabs>
        <w:spacing w:line="360" w:lineRule="auto"/>
        <w:rPr>
          <w:rFonts w:cstheme="minorHAnsi"/>
          <w:sz w:val="19"/>
          <w:szCs w:val="19"/>
        </w:rPr>
      </w:pPr>
      <w:r w:rsidRPr="00453CFC">
        <w:rPr>
          <w:rFonts w:cstheme="minorHAnsi"/>
          <w:sz w:val="19"/>
          <w:szCs w:val="19"/>
        </w:rPr>
        <w:tab/>
      </w:r>
      <w:r w:rsidR="006F1B19" w:rsidRPr="00453CFC">
        <w:rPr>
          <w:rFonts w:cstheme="minorHAnsi"/>
          <w:sz w:val="19"/>
          <w:szCs w:val="19"/>
        </w:rPr>
        <w:br w:type="textWrapping" w:clear="all"/>
      </w:r>
    </w:p>
    <w:p w14:paraId="0FDE9AE2" w14:textId="77777777" w:rsidR="00D15EA5" w:rsidRPr="00453CFC" w:rsidRDefault="00D15EA5" w:rsidP="0064005C">
      <w:pPr>
        <w:pStyle w:val="BodyText"/>
        <w:spacing w:line="360" w:lineRule="auto"/>
        <w:rPr>
          <w:rFonts w:cstheme="minorHAnsi"/>
          <w:sz w:val="19"/>
          <w:szCs w:val="19"/>
        </w:rPr>
      </w:pPr>
    </w:p>
    <w:p w14:paraId="69E87BB5" w14:textId="77777777" w:rsidR="00D15EA5" w:rsidRPr="00453CFC" w:rsidRDefault="00D15EA5" w:rsidP="0064005C">
      <w:pPr>
        <w:pStyle w:val="BodyText"/>
        <w:spacing w:line="360" w:lineRule="auto"/>
        <w:rPr>
          <w:rFonts w:cstheme="minorHAnsi"/>
          <w:sz w:val="19"/>
          <w:szCs w:val="19"/>
          <w:lang w:bidi="th-TH"/>
        </w:rPr>
      </w:pPr>
    </w:p>
    <w:p w14:paraId="16DEC405" w14:textId="467FF751" w:rsidR="00F51277" w:rsidRPr="00453CFC" w:rsidRDefault="00F51277" w:rsidP="0064005C">
      <w:pPr>
        <w:spacing w:after="0" w:line="360" w:lineRule="auto"/>
        <w:jc w:val="thaiDistribute"/>
        <w:rPr>
          <w:rFonts w:cstheme="minorHAnsi"/>
          <w:sz w:val="19"/>
          <w:szCs w:val="19"/>
          <w:cs/>
          <w:lang w:bidi="th-TH"/>
        </w:rPr>
      </w:pPr>
    </w:p>
    <w:p w14:paraId="363FBC3D" w14:textId="52717D7D" w:rsidR="009C5156" w:rsidRPr="00453CFC" w:rsidRDefault="009C5156" w:rsidP="0064005C">
      <w:pPr>
        <w:spacing w:after="0" w:line="360" w:lineRule="auto"/>
        <w:jc w:val="thaiDistribute"/>
        <w:rPr>
          <w:rFonts w:cstheme="minorHAnsi"/>
          <w:sz w:val="19"/>
          <w:szCs w:val="19"/>
          <w:lang w:bidi="th-TH"/>
        </w:rPr>
      </w:pPr>
    </w:p>
    <w:p w14:paraId="66E7F674" w14:textId="77777777" w:rsidR="00FE74F9" w:rsidRPr="00453CFC" w:rsidRDefault="00FE74F9" w:rsidP="0064005C">
      <w:pPr>
        <w:spacing w:after="0" w:line="360" w:lineRule="auto"/>
        <w:jc w:val="thaiDistribute"/>
        <w:rPr>
          <w:rFonts w:cstheme="minorHAnsi"/>
          <w:sz w:val="19"/>
          <w:szCs w:val="19"/>
          <w:lang w:bidi="th-TH"/>
        </w:rPr>
      </w:pPr>
    </w:p>
    <w:p w14:paraId="7B12B18E" w14:textId="4D239945" w:rsidR="00AD3B26" w:rsidRPr="00453CFC" w:rsidRDefault="00805BDA" w:rsidP="0064005C">
      <w:pPr>
        <w:spacing w:after="0" w:line="360" w:lineRule="auto"/>
        <w:jc w:val="thaiDistribute"/>
        <w:rPr>
          <w:rFonts w:cstheme="minorHAnsi"/>
          <w:b/>
          <w:bCs/>
          <w:sz w:val="19"/>
          <w:szCs w:val="19"/>
          <w:cs/>
          <w:lang w:bidi="th-TH"/>
        </w:rPr>
      </w:pPr>
      <w:r w:rsidRPr="00453CFC">
        <w:rPr>
          <w:rFonts w:cstheme="minorHAnsi"/>
          <w:b/>
          <w:bCs/>
          <w:sz w:val="19"/>
          <w:szCs w:val="19"/>
          <w:lang w:bidi="th-TH"/>
        </w:rPr>
        <w:t>To the Shareholders of Italian-Thai Development Public Company Limited</w:t>
      </w:r>
    </w:p>
    <w:p w14:paraId="17328834" w14:textId="77777777" w:rsidR="00AD3B26" w:rsidRPr="00453CFC" w:rsidRDefault="00734D83" w:rsidP="0064005C">
      <w:pPr>
        <w:tabs>
          <w:tab w:val="left" w:pos="540"/>
        </w:tabs>
        <w:spacing w:line="360" w:lineRule="auto"/>
        <w:jc w:val="thaiDistribute"/>
        <w:rPr>
          <w:rFonts w:cstheme="minorHAnsi"/>
          <w:sz w:val="19"/>
          <w:szCs w:val="19"/>
        </w:rPr>
      </w:pPr>
      <w:r w:rsidRPr="00453CFC">
        <w:rPr>
          <w:rFonts w:cstheme="minorHAnsi"/>
          <w:sz w:val="19"/>
          <w:szCs w:val="19"/>
          <w:lang w:bidi="th-TH"/>
        </w:rPr>
        <w:tab/>
      </w:r>
    </w:p>
    <w:p w14:paraId="47DB55EC" w14:textId="7DA3ADE5" w:rsidR="00021CE9" w:rsidRPr="00453CFC" w:rsidRDefault="00C65023" w:rsidP="0064005C">
      <w:pPr>
        <w:shd w:val="clear" w:color="auto" w:fill="FFFFFF"/>
        <w:spacing w:after="0" w:line="360" w:lineRule="auto"/>
        <w:jc w:val="thaiDistribute"/>
        <w:rPr>
          <w:rFonts w:cstheme="minorHAnsi"/>
          <w:i/>
          <w:iCs/>
          <w:sz w:val="19"/>
          <w:szCs w:val="19"/>
          <w:lang w:bidi="th-TH"/>
        </w:rPr>
      </w:pPr>
      <w:r w:rsidRPr="00453CFC">
        <w:rPr>
          <w:rFonts w:cstheme="minorHAnsi"/>
          <w:i/>
          <w:iCs/>
          <w:sz w:val="19"/>
          <w:szCs w:val="19"/>
          <w:lang w:bidi="th-TH"/>
        </w:rPr>
        <w:t>Disclaimer of Opinion</w:t>
      </w:r>
    </w:p>
    <w:p w14:paraId="0E24322C" w14:textId="77777777" w:rsidR="00C65023" w:rsidRPr="00453CFC" w:rsidRDefault="00C65023" w:rsidP="0064005C">
      <w:pPr>
        <w:shd w:val="clear" w:color="auto" w:fill="FFFFFF"/>
        <w:spacing w:line="360" w:lineRule="auto"/>
        <w:jc w:val="thaiDistribute"/>
        <w:rPr>
          <w:rFonts w:eastAsia="Browallia New" w:cstheme="minorHAnsi"/>
          <w:noProof/>
          <w:sz w:val="19"/>
          <w:szCs w:val="19"/>
        </w:rPr>
      </w:pPr>
    </w:p>
    <w:p w14:paraId="08798C02" w14:textId="0296EB12" w:rsidR="00B222C2" w:rsidRDefault="00595AF8" w:rsidP="0064005C">
      <w:pPr>
        <w:shd w:val="clear" w:color="auto" w:fill="FFFFFF"/>
        <w:spacing w:after="0" w:line="360" w:lineRule="auto"/>
        <w:jc w:val="thaiDistribute"/>
        <w:rPr>
          <w:rFonts w:ascii="Arial" w:eastAsia="Browallia New" w:hAnsi="Arial" w:cstheme="minorHAnsi"/>
          <w:noProof/>
          <w:color w:val="000000"/>
          <w:sz w:val="19"/>
          <w:szCs w:val="19"/>
        </w:rPr>
      </w:pPr>
      <w:r w:rsidRPr="00595AF8">
        <w:rPr>
          <w:rFonts w:ascii="Arial" w:eastAsia="Browallia New" w:hAnsi="Arial" w:cstheme="minorHAnsi"/>
          <w:noProof/>
          <w:color w:val="000000"/>
          <w:sz w:val="19"/>
          <w:szCs w:val="19"/>
        </w:rPr>
        <w:t>I was engaged to audit the consolidated financial statements of Italian-Thai Development Public Company Limited (“the Company”) and its subsidiaries ( “the Group”) and the separate financial statements of the Company which comprise of the consolidated and separate statements of financial position as at 31 December 2023, the consolidated and separate statements of comprehensive income, the consolidated and separate statements of changes in equity, the consolidated and separate statements of cash flows for the year then ended and the notes to the consolidated and separate financial statements which include significant accounting policies and other explanatory information.</w:t>
      </w:r>
    </w:p>
    <w:p w14:paraId="3AD2F45C" w14:textId="77777777" w:rsidR="00595AF8" w:rsidRDefault="00595AF8" w:rsidP="0064005C">
      <w:pPr>
        <w:shd w:val="clear" w:color="auto" w:fill="FFFFFF"/>
        <w:spacing w:after="0" w:line="360" w:lineRule="auto"/>
        <w:jc w:val="thaiDistribute"/>
        <w:rPr>
          <w:rFonts w:eastAsia="Browallia New" w:cstheme="minorHAnsi"/>
          <w:noProof/>
          <w:sz w:val="19"/>
          <w:szCs w:val="19"/>
        </w:rPr>
      </w:pPr>
    </w:p>
    <w:p w14:paraId="00F08CAD" w14:textId="4B60A261" w:rsidR="000C3526" w:rsidRPr="00453CFC" w:rsidRDefault="00F87941" w:rsidP="0064005C">
      <w:pPr>
        <w:spacing w:after="0" w:line="360" w:lineRule="auto"/>
        <w:jc w:val="thaiDistribute"/>
        <w:rPr>
          <w:rFonts w:cstheme="minorHAnsi"/>
          <w:i/>
          <w:iCs/>
          <w:sz w:val="19"/>
          <w:szCs w:val="19"/>
          <w:lang w:bidi="th-TH"/>
        </w:rPr>
      </w:pPr>
      <w:r w:rsidRPr="00F87941">
        <w:rPr>
          <w:rFonts w:eastAsia="Browallia New" w:cstheme="minorHAnsi"/>
          <w:noProof/>
          <w:sz w:val="19"/>
          <w:szCs w:val="19"/>
        </w:rPr>
        <w:t xml:space="preserve">I do not express an opinion on the consolidated financial statements of the Company and the Group and the separate financial statements of the Company for the year ended 31 December 2023. Because of the significance of the matters described in the Basis for Disclaimer of Opinion sections of my report, I have not been able to obtain sufficient appropriate audit evidence to provide a basis for an audit opinion on these consolidated and separate financial statements.  </w:t>
      </w:r>
    </w:p>
    <w:p w14:paraId="6FDE0699" w14:textId="77777777" w:rsidR="000B0A07" w:rsidRPr="00453CFC" w:rsidRDefault="000B0A07" w:rsidP="0064005C">
      <w:pPr>
        <w:spacing w:after="0" w:line="360" w:lineRule="auto"/>
        <w:jc w:val="thaiDistribute"/>
        <w:rPr>
          <w:rFonts w:cstheme="minorHAnsi"/>
          <w:i/>
          <w:iCs/>
          <w:sz w:val="19"/>
          <w:szCs w:val="19"/>
          <w:lang w:bidi="th-TH"/>
        </w:rPr>
      </w:pPr>
    </w:p>
    <w:p w14:paraId="0065DB5D" w14:textId="77777777" w:rsidR="00C06EBC" w:rsidRDefault="00C06EBC">
      <w:pPr>
        <w:spacing w:after="0" w:line="240" w:lineRule="auto"/>
        <w:rPr>
          <w:rFonts w:cstheme="minorHAnsi"/>
          <w:i/>
          <w:iCs/>
          <w:sz w:val="19"/>
          <w:szCs w:val="19"/>
        </w:rPr>
      </w:pPr>
    </w:p>
    <w:p w14:paraId="514772DF" w14:textId="77777777" w:rsidR="00C06EBC" w:rsidRDefault="00C06EBC">
      <w:pPr>
        <w:spacing w:after="0" w:line="240" w:lineRule="auto"/>
        <w:rPr>
          <w:rFonts w:cstheme="minorHAnsi"/>
          <w:i/>
          <w:iCs/>
          <w:sz w:val="19"/>
          <w:szCs w:val="19"/>
        </w:rPr>
      </w:pPr>
    </w:p>
    <w:p w14:paraId="7A02D416" w14:textId="77777777" w:rsidR="00C06EBC" w:rsidRDefault="00C06EBC">
      <w:pPr>
        <w:spacing w:after="0" w:line="240" w:lineRule="auto"/>
        <w:rPr>
          <w:rFonts w:cstheme="minorHAnsi"/>
          <w:i/>
          <w:iCs/>
          <w:sz w:val="19"/>
          <w:szCs w:val="19"/>
        </w:rPr>
      </w:pPr>
    </w:p>
    <w:p w14:paraId="66B18630" w14:textId="77777777" w:rsidR="00C06EBC" w:rsidRDefault="00C06EBC">
      <w:pPr>
        <w:spacing w:after="0" w:line="240" w:lineRule="auto"/>
        <w:rPr>
          <w:rFonts w:cstheme="minorHAnsi"/>
          <w:i/>
          <w:iCs/>
          <w:sz w:val="19"/>
          <w:szCs w:val="19"/>
        </w:rPr>
      </w:pPr>
    </w:p>
    <w:p w14:paraId="1BE08A73" w14:textId="77777777" w:rsidR="00C06EBC" w:rsidRDefault="00C06EBC">
      <w:pPr>
        <w:spacing w:after="0" w:line="240" w:lineRule="auto"/>
        <w:rPr>
          <w:rFonts w:cstheme="minorHAnsi"/>
          <w:i/>
          <w:iCs/>
          <w:sz w:val="19"/>
          <w:szCs w:val="19"/>
        </w:rPr>
      </w:pPr>
    </w:p>
    <w:p w14:paraId="0A4D665C" w14:textId="77777777" w:rsidR="00C06EBC" w:rsidRDefault="00C06EBC">
      <w:pPr>
        <w:spacing w:after="0" w:line="240" w:lineRule="auto"/>
        <w:rPr>
          <w:rFonts w:cstheme="minorHAnsi"/>
          <w:i/>
          <w:iCs/>
          <w:sz w:val="19"/>
          <w:szCs w:val="19"/>
        </w:rPr>
      </w:pPr>
    </w:p>
    <w:p w14:paraId="3865FE6D" w14:textId="77777777" w:rsidR="00C06EBC" w:rsidRDefault="00C06EBC">
      <w:pPr>
        <w:spacing w:after="0" w:line="240" w:lineRule="auto"/>
        <w:rPr>
          <w:rFonts w:cstheme="minorHAnsi"/>
          <w:i/>
          <w:iCs/>
          <w:sz w:val="19"/>
          <w:szCs w:val="19"/>
        </w:rPr>
      </w:pPr>
    </w:p>
    <w:p w14:paraId="5C94A62A" w14:textId="77777777" w:rsidR="00C06EBC" w:rsidRDefault="00C06EBC">
      <w:pPr>
        <w:spacing w:after="0" w:line="240" w:lineRule="auto"/>
        <w:rPr>
          <w:rFonts w:cstheme="minorHAnsi"/>
          <w:i/>
          <w:iCs/>
          <w:sz w:val="19"/>
          <w:szCs w:val="19"/>
        </w:rPr>
      </w:pPr>
    </w:p>
    <w:p w14:paraId="14E953AD" w14:textId="77777777" w:rsidR="00C06EBC" w:rsidRDefault="00C06EBC">
      <w:pPr>
        <w:spacing w:after="0" w:line="240" w:lineRule="auto"/>
        <w:rPr>
          <w:rFonts w:cstheme="minorHAnsi"/>
          <w:i/>
          <w:iCs/>
          <w:sz w:val="19"/>
          <w:szCs w:val="19"/>
        </w:rPr>
      </w:pPr>
    </w:p>
    <w:p w14:paraId="4E746BA9" w14:textId="77777777" w:rsidR="00C06EBC" w:rsidRDefault="00C06EBC">
      <w:pPr>
        <w:spacing w:after="0" w:line="240" w:lineRule="auto"/>
        <w:rPr>
          <w:rFonts w:cstheme="minorHAnsi"/>
          <w:i/>
          <w:iCs/>
          <w:sz w:val="19"/>
          <w:szCs w:val="19"/>
        </w:rPr>
      </w:pPr>
    </w:p>
    <w:p w14:paraId="2D4ED913" w14:textId="1433207C" w:rsidR="0051206C" w:rsidRPr="00453CFC" w:rsidRDefault="00F167C9" w:rsidP="007738E3">
      <w:pPr>
        <w:shd w:val="clear" w:color="auto" w:fill="FFFFFF"/>
        <w:spacing w:after="0" w:line="360" w:lineRule="auto"/>
        <w:jc w:val="thaiDistribute"/>
        <w:rPr>
          <w:rFonts w:cstheme="minorHAnsi"/>
          <w:i/>
          <w:iCs/>
          <w:sz w:val="19"/>
          <w:szCs w:val="19"/>
          <w:lang w:bidi="th-TH"/>
        </w:rPr>
      </w:pPr>
      <w:r w:rsidRPr="00453CFC">
        <w:rPr>
          <w:rFonts w:cstheme="minorHAnsi"/>
          <w:i/>
          <w:iCs/>
          <w:sz w:val="19"/>
          <w:szCs w:val="19"/>
          <w:lang w:bidi="th-TH"/>
        </w:rPr>
        <w:lastRenderedPageBreak/>
        <w:t xml:space="preserve">Basis for Disclaimer of Opinion </w:t>
      </w:r>
    </w:p>
    <w:p w14:paraId="19A61D71" w14:textId="77777777" w:rsidR="00F167C9" w:rsidRPr="007738E3" w:rsidRDefault="00F167C9" w:rsidP="007738E3">
      <w:pPr>
        <w:shd w:val="clear" w:color="auto" w:fill="FFFFFF"/>
        <w:spacing w:after="0" w:line="360" w:lineRule="auto"/>
        <w:jc w:val="thaiDistribute"/>
        <w:rPr>
          <w:rFonts w:cstheme="minorHAnsi"/>
          <w:i/>
          <w:iCs/>
          <w:sz w:val="19"/>
          <w:szCs w:val="19"/>
          <w:lang w:bidi="th-TH"/>
        </w:rPr>
      </w:pPr>
    </w:p>
    <w:p w14:paraId="06A7ED8C" w14:textId="1707E3DE" w:rsidR="00633473" w:rsidRPr="00E207EA" w:rsidRDefault="00633473" w:rsidP="007738E3">
      <w:pPr>
        <w:pStyle w:val="ListParagraph"/>
        <w:numPr>
          <w:ilvl w:val="0"/>
          <w:numId w:val="34"/>
        </w:numPr>
        <w:shd w:val="clear" w:color="auto" w:fill="FFFFFF"/>
        <w:spacing w:after="0" w:line="360" w:lineRule="auto"/>
        <w:ind w:left="333"/>
        <w:jc w:val="thaiDistribute"/>
        <w:rPr>
          <w:rFonts w:cstheme="minorHAnsi"/>
          <w:i/>
          <w:iCs/>
          <w:sz w:val="19"/>
          <w:szCs w:val="19"/>
          <w:lang w:bidi="th-TH"/>
        </w:rPr>
      </w:pPr>
      <w:bookmarkStart w:id="1" w:name="_Hlk33611292"/>
      <w:r w:rsidRPr="00E207EA">
        <w:rPr>
          <w:rFonts w:cstheme="minorHAnsi"/>
          <w:i/>
          <w:iCs/>
          <w:sz w:val="19"/>
          <w:szCs w:val="19"/>
          <w:lang w:bidi="th-TH"/>
        </w:rPr>
        <w:t>Material Uncertainty Related to Going Concern</w:t>
      </w:r>
    </w:p>
    <w:p w14:paraId="1B72B5B2" w14:textId="77777777" w:rsidR="00F77150" w:rsidRPr="00E207EA" w:rsidRDefault="00F77150" w:rsidP="007738E3">
      <w:pPr>
        <w:shd w:val="clear" w:color="auto" w:fill="FFFFFF"/>
        <w:spacing w:after="0" w:line="360" w:lineRule="auto"/>
        <w:jc w:val="thaiDistribute"/>
        <w:rPr>
          <w:rFonts w:cstheme="minorHAnsi"/>
          <w:i/>
          <w:iCs/>
          <w:sz w:val="19"/>
          <w:szCs w:val="19"/>
          <w:lang w:bidi="th-TH"/>
        </w:rPr>
      </w:pPr>
    </w:p>
    <w:p w14:paraId="050EE5A1" w14:textId="4E56C7DF" w:rsidR="005A53BD" w:rsidRDefault="00F77150" w:rsidP="007738E3">
      <w:pPr>
        <w:spacing w:after="0" w:line="360" w:lineRule="auto"/>
        <w:ind w:left="333"/>
        <w:jc w:val="both"/>
        <w:rPr>
          <w:rFonts w:cstheme="minorHAnsi"/>
          <w:sz w:val="19"/>
          <w:szCs w:val="19"/>
          <w:lang w:bidi="th-TH"/>
        </w:rPr>
      </w:pPr>
      <w:r w:rsidRPr="00E207EA">
        <w:rPr>
          <w:rFonts w:cstheme="minorHAnsi"/>
          <w:sz w:val="19"/>
          <w:szCs w:val="19"/>
          <w:lang w:bidi="th-TH"/>
        </w:rPr>
        <w:t xml:space="preserve">Refer to </w:t>
      </w:r>
      <w:r w:rsidR="003A0ED0">
        <w:rPr>
          <w:rFonts w:cstheme="minorHAnsi"/>
          <w:sz w:val="19"/>
          <w:szCs w:val="19"/>
          <w:lang w:bidi="th-TH"/>
        </w:rPr>
        <w:t>N</w:t>
      </w:r>
      <w:r w:rsidRPr="00E207EA">
        <w:rPr>
          <w:rFonts w:cstheme="minorHAnsi"/>
          <w:sz w:val="19"/>
          <w:szCs w:val="19"/>
          <w:lang w:bidi="th-TH"/>
        </w:rPr>
        <w:t>ote</w:t>
      </w:r>
      <w:r w:rsidR="00264845">
        <w:rPr>
          <w:rFonts w:cstheme="minorHAnsi"/>
          <w:sz w:val="19"/>
          <w:szCs w:val="19"/>
          <w:lang w:bidi="th-TH"/>
        </w:rPr>
        <w:t xml:space="preserve"> 1.2</w:t>
      </w:r>
      <w:r w:rsidRPr="00E207EA">
        <w:rPr>
          <w:rFonts w:cstheme="minorHAnsi"/>
          <w:sz w:val="19"/>
          <w:szCs w:val="19"/>
          <w:lang w:bidi="th-TH"/>
        </w:rPr>
        <w:t xml:space="preserve"> to the financial statements which indicated that for the year ended </w:t>
      </w:r>
      <w:r w:rsidR="007738E3">
        <w:rPr>
          <w:rFonts w:cstheme="minorBidi"/>
          <w:sz w:val="19"/>
          <w:szCs w:val="19"/>
          <w:cs/>
          <w:lang w:bidi="th-TH"/>
        </w:rPr>
        <w:br/>
      </w:r>
      <w:r w:rsidRPr="00E207EA">
        <w:rPr>
          <w:rFonts w:cstheme="minorHAnsi"/>
          <w:sz w:val="19"/>
          <w:szCs w:val="19"/>
          <w:lang w:bidi="th-TH"/>
        </w:rPr>
        <w:t>31 December 2023, the Group and the Company had loss after tax of Baht 421.54 million and Baht 194.87 million, respectively (2022</w:t>
      </w:r>
      <w:r w:rsidR="003D1DF0">
        <w:rPr>
          <w:rFonts w:cstheme="minorHAnsi"/>
          <w:sz w:val="19"/>
          <w:szCs w:val="19"/>
          <w:lang w:bidi="th-TH"/>
        </w:rPr>
        <w:t xml:space="preserve"> </w:t>
      </w:r>
      <w:r w:rsidRPr="00E207EA">
        <w:rPr>
          <w:rFonts w:cstheme="minorHAnsi"/>
          <w:sz w:val="19"/>
          <w:szCs w:val="19"/>
          <w:lang w:bidi="th-TH"/>
        </w:rPr>
        <w:t xml:space="preserve">: Baht 4,475.58 million and Baht 3,622.58 million, respectively) and as at 31 December 2023 the Group and the Company had accumulated deficits of retained earnings of Baht </w:t>
      </w:r>
      <w:r w:rsidR="000940E8" w:rsidRPr="000940E8">
        <w:rPr>
          <w:rFonts w:cstheme="minorHAnsi"/>
          <w:sz w:val="19"/>
          <w:szCs w:val="19"/>
          <w:lang w:bidi="th-TH"/>
        </w:rPr>
        <w:t xml:space="preserve">6,426.67 </w:t>
      </w:r>
      <w:r w:rsidRPr="00E207EA">
        <w:rPr>
          <w:rFonts w:cstheme="minorHAnsi"/>
          <w:sz w:val="19"/>
          <w:szCs w:val="19"/>
          <w:lang w:bidi="th-TH"/>
        </w:rPr>
        <w:t>million and Baht 5,390.06 million, respectively (2022</w:t>
      </w:r>
      <w:r w:rsidR="003D1DF0">
        <w:rPr>
          <w:rFonts w:cstheme="minorHAnsi"/>
          <w:sz w:val="19"/>
          <w:szCs w:val="19"/>
          <w:lang w:bidi="th-TH"/>
        </w:rPr>
        <w:t xml:space="preserve"> </w:t>
      </w:r>
      <w:r w:rsidRPr="00E207EA">
        <w:rPr>
          <w:rFonts w:cstheme="minorHAnsi"/>
          <w:sz w:val="19"/>
          <w:szCs w:val="19"/>
          <w:lang w:bidi="th-TH"/>
        </w:rPr>
        <w:t xml:space="preserve">: Baht </w:t>
      </w:r>
      <w:r w:rsidR="000363F8" w:rsidRPr="000363F8">
        <w:rPr>
          <w:rFonts w:cstheme="minorHAnsi"/>
          <w:sz w:val="19"/>
          <w:szCs w:val="19"/>
          <w:lang w:bidi="th-TH"/>
        </w:rPr>
        <w:t>5,395.86</w:t>
      </w:r>
      <w:r w:rsidR="000363F8" w:rsidRPr="000363F8">
        <w:rPr>
          <w:rFonts w:cstheme="minorHAnsi" w:hint="cs"/>
          <w:sz w:val="19"/>
          <w:szCs w:val="19"/>
          <w:cs/>
          <w:lang w:bidi="th-TH"/>
        </w:rPr>
        <w:t xml:space="preserve"> </w:t>
      </w:r>
      <w:r w:rsidRPr="00E207EA">
        <w:rPr>
          <w:rFonts w:cstheme="minorHAnsi"/>
          <w:sz w:val="19"/>
          <w:szCs w:val="19"/>
          <w:lang w:bidi="th-TH"/>
        </w:rPr>
        <w:t>million and Baht 5,223.32 million, respectively) and the Group and the Company had current liabilities in excess of the current assets amounting to Baht 26,711.54 million and Baht 29,977.68 million, respectively (2022</w:t>
      </w:r>
      <w:r w:rsidR="003D1DF0">
        <w:rPr>
          <w:rFonts w:cstheme="minorHAnsi"/>
          <w:sz w:val="19"/>
          <w:szCs w:val="19"/>
          <w:lang w:bidi="th-TH"/>
        </w:rPr>
        <w:t xml:space="preserve"> </w:t>
      </w:r>
      <w:r w:rsidRPr="00E207EA">
        <w:rPr>
          <w:rFonts w:cstheme="minorHAnsi"/>
          <w:sz w:val="19"/>
          <w:szCs w:val="19"/>
          <w:lang w:bidi="th-TH"/>
        </w:rPr>
        <w:t>: Baht 13,305.91 million and Baht 16,810.41 million, respectively). The current liabilities mainly included short-term loans in the form of a promissory note</w:t>
      </w:r>
      <w:r w:rsidR="003D1DF0">
        <w:rPr>
          <w:rFonts w:cstheme="minorHAnsi"/>
          <w:sz w:val="19"/>
          <w:szCs w:val="19"/>
          <w:lang w:bidi="th-TH"/>
        </w:rPr>
        <w:t>s</w:t>
      </w:r>
      <w:r w:rsidRPr="00E207EA">
        <w:rPr>
          <w:rFonts w:cstheme="minorHAnsi"/>
          <w:sz w:val="19"/>
          <w:szCs w:val="19"/>
          <w:lang w:bidi="th-TH"/>
        </w:rPr>
        <w:t>, trust receipt</w:t>
      </w:r>
      <w:r w:rsidR="006904AF">
        <w:rPr>
          <w:rFonts w:cstheme="minorHAnsi"/>
          <w:sz w:val="19"/>
          <w:szCs w:val="19"/>
          <w:lang w:bidi="th-TH"/>
        </w:rPr>
        <w:t>s</w:t>
      </w:r>
      <w:r w:rsidRPr="00E207EA">
        <w:rPr>
          <w:rFonts w:cstheme="minorHAnsi"/>
          <w:sz w:val="19"/>
          <w:szCs w:val="19"/>
          <w:lang w:bidi="th-TH"/>
        </w:rPr>
        <w:t>, letter</w:t>
      </w:r>
      <w:r w:rsidR="006904AF">
        <w:rPr>
          <w:rFonts w:cstheme="minorHAnsi"/>
          <w:sz w:val="19"/>
          <w:szCs w:val="19"/>
          <w:lang w:bidi="th-TH"/>
        </w:rPr>
        <w:t>s</w:t>
      </w:r>
      <w:r w:rsidRPr="00E207EA">
        <w:rPr>
          <w:rFonts w:cstheme="minorHAnsi"/>
          <w:sz w:val="19"/>
          <w:szCs w:val="19"/>
          <w:lang w:bidi="th-TH"/>
        </w:rPr>
        <w:t xml:space="preserve"> of credit and long-term loans from financial institutions, where long-term loans have been reclassified to short-term loans and</w:t>
      </w:r>
      <w:r w:rsidR="001B2487">
        <w:rPr>
          <w:rFonts w:cstheme="minorHAnsi"/>
          <w:sz w:val="19"/>
          <w:szCs w:val="19"/>
          <w:lang w:bidi="th-TH"/>
        </w:rPr>
        <w:t xml:space="preserve"> debentures have been reclassified to </w:t>
      </w:r>
      <w:r w:rsidRPr="00E207EA">
        <w:rPr>
          <w:rFonts w:cstheme="minorHAnsi"/>
          <w:sz w:val="19"/>
          <w:szCs w:val="19"/>
          <w:lang w:bidi="th-TH"/>
        </w:rPr>
        <w:t xml:space="preserve">debentures due within one year due to </w:t>
      </w:r>
      <w:r w:rsidR="005A53BD">
        <w:rPr>
          <w:rFonts w:cstheme="minorHAnsi"/>
          <w:sz w:val="19"/>
          <w:szCs w:val="19"/>
          <w:lang w:bidi="th-TH"/>
        </w:rPr>
        <w:t xml:space="preserve">default the conditions as specified in the terms and conditions in the loan agreement and debentures. </w:t>
      </w:r>
    </w:p>
    <w:p w14:paraId="141724D2" w14:textId="77777777" w:rsidR="00E207EA" w:rsidRPr="0030061D" w:rsidRDefault="00E207EA" w:rsidP="007738E3">
      <w:pPr>
        <w:spacing w:after="0" w:line="360" w:lineRule="auto"/>
        <w:jc w:val="both"/>
        <w:rPr>
          <w:rFonts w:cstheme="minorHAnsi"/>
          <w:sz w:val="19"/>
          <w:szCs w:val="19"/>
          <w:lang w:val="en-US" w:bidi="th-TH"/>
        </w:rPr>
      </w:pPr>
    </w:p>
    <w:p w14:paraId="075D8AC6" w14:textId="638B9D5F" w:rsidR="00E207EA" w:rsidRDefault="00F360F6" w:rsidP="007738E3">
      <w:pPr>
        <w:spacing w:after="0" w:line="360" w:lineRule="auto"/>
        <w:ind w:left="333"/>
        <w:jc w:val="both"/>
        <w:rPr>
          <w:rFonts w:cstheme="minorHAnsi"/>
          <w:sz w:val="19"/>
          <w:szCs w:val="19"/>
          <w:lang w:bidi="th-TH"/>
        </w:rPr>
      </w:pPr>
      <w:r>
        <w:rPr>
          <w:rFonts w:cstheme="minorHAnsi"/>
          <w:sz w:val="19"/>
          <w:szCs w:val="19"/>
          <w:lang w:bidi="th-TH"/>
        </w:rPr>
        <w:t xml:space="preserve">As at 31 December 2023, the Company is unable to maintain the debt to equity ratio computed on </w:t>
      </w:r>
      <w:r w:rsidRPr="00F337E9">
        <w:rPr>
          <w:rFonts w:cstheme="minorHAnsi"/>
          <w:sz w:val="19"/>
          <w:szCs w:val="19"/>
          <w:lang w:bidi="th-TH"/>
        </w:rPr>
        <w:t>the consolidated financial statements</w:t>
      </w:r>
      <w:r w:rsidR="00740500">
        <w:rPr>
          <w:rFonts w:cstheme="minorHAnsi"/>
          <w:sz w:val="19"/>
          <w:szCs w:val="19"/>
          <w:lang w:bidi="th-TH"/>
        </w:rPr>
        <w:t xml:space="preserve"> as specified on loan agreements with some financial </w:t>
      </w:r>
      <w:r w:rsidR="0010668F" w:rsidRPr="0010668F">
        <w:rPr>
          <w:rFonts w:cstheme="minorHAnsi"/>
          <w:sz w:val="19"/>
          <w:szCs w:val="19"/>
          <w:lang w:bidi="th-TH"/>
        </w:rPr>
        <w:t>institutions</w:t>
      </w:r>
      <w:r w:rsidRPr="00F337E9">
        <w:rPr>
          <w:rFonts w:cstheme="minorHAnsi"/>
          <w:sz w:val="19"/>
          <w:szCs w:val="19"/>
          <w:lang w:bidi="th-TH"/>
        </w:rPr>
        <w:t xml:space="preserve">. </w:t>
      </w:r>
      <w:r w:rsidRPr="00F360F6">
        <w:rPr>
          <w:rFonts w:cstheme="minorHAnsi"/>
          <w:sz w:val="19"/>
          <w:szCs w:val="19"/>
          <w:lang w:bidi="th-TH"/>
        </w:rPr>
        <w:t>As a result of breaching the conditions of the loan agreement</w:t>
      </w:r>
      <w:r w:rsidR="00880444">
        <w:rPr>
          <w:rFonts w:cstheme="minorHAnsi"/>
          <w:sz w:val="19"/>
          <w:szCs w:val="19"/>
          <w:lang w:bidi="th-TH"/>
        </w:rPr>
        <w:t xml:space="preserve"> totalling of Baht 2,865.92 million</w:t>
      </w:r>
      <w:r>
        <w:rPr>
          <w:rFonts w:cstheme="minorHAnsi"/>
          <w:sz w:val="19"/>
          <w:szCs w:val="19"/>
          <w:lang w:bidi="th-TH"/>
        </w:rPr>
        <w:t xml:space="preserve">, </w:t>
      </w:r>
      <w:r w:rsidRPr="00F360F6">
        <w:rPr>
          <w:rFonts w:cstheme="minorHAnsi"/>
          <w:sz w:val="19"/>
          <w:szCs w:val="19"/>
          <w:lang w:bidi="th-TH"/>
        </w:rPr>
        <w:t>the financial institutions ha</w:t>
      </w:r>
      <w:r w:rsidR="009B1372">
        <w:rPr>
          <w:rFonts w:cstheme="minorHAnsi"/>
          <w:sz w:val="19"/>
          <w:szCs w:val="19"/>
          <w:lang w:bidi="th-TH"/>
        </w:rPr>
        <w:t>ve</w:t>
      </w:r>
      <w:r w:rsidRPr="00F360F6">
        <w:rPr>
          <w:rFonts w:cstheme="minorHAnsi"/>
          <w:sz w:val="19"/>
          <w:szCs w:val="19"/>
          <w:lang w:bidi="th-TH"/>
        </w:rPr>
        <w:t xml:space="preserve"> the right to define the debts</w:t>
      </w:r>
      <w:r w:rsidR="00880444">
        <w:rPr>
          <w:rFonts w:cstheme="minorHAnsi"/>
          <w:sz w:val="19"/>
          <w:szCs w:val="19"/>
          <w:lang w:bidi="th-TH"/>
        </w:rPr>
        <w:t xml:space="preserve"> </w:t>
      </w:r>
      <w:r w:rsidRPr="00F360F6">
        <w:rPr>
          <w:rFonts w:cstheme="minorHAnsi"/>
          <w:sz w:val="19"/>
          <w:szCs w:val="19"/>
          <w:lang w:bidi="th-TH"/>
        </w:rPr>
        <w:t>both short</w:t>
      </w:r>
      <w:r w:rsidR="005A53BD">
        <w:rPr>
          <w:rFonts w:cstheme="minorHAnsi"/>
          <w:sz w:val="19"/>
          <w:szCs w:val="19"/>
          <w:lang w:bidi="th-TH"/>
        </w:rPr>
        <w:t xml:space="preserve">-term </w:t>
      </w:r>
      <w:r w:rsidRPr="00F360F6">
        <w:rPr>
          <w:rFonts w:cstheme="minorHAnsi"/>
          <w:sz w:val="19"/>
          <w:szCs w:val="19"/>
          <w:lang w:bidi="th-TH"/>
        </w:rPr>
        <w:t>and long</w:t>
      </w:r>
      <w:r>
        <w:rPr>
          <w:rFonts w:cstheme="minorHAnsi"/>
          <w:sz w:val="19"/>
          <w:szCs w:val="19"/>
          <w:lang w:bidi="th-TH"/>
        </w:rPr>
        <w:t>-</w:t>
      </w:r>
      <w:r w:rsidRPr="00F360F6">
        <w:rPr>
          <w:rFonts w:cstheme="minorHAnsi"/>
          <w:sz w:val="19"/>
          <w:szCs w:val="19"/>
          <w:lang w:bidi="th-TH"/>
        </w:rPr>
        <w:t xml:space="preserve">term loans amounting to </w:t>
      </w:r>
      <w:r w:rsidRPr="00F337E9">
        <w:rPr>
          <w:rFonts w:cstheme="minorHAnsi"/>
          <w:sz w:val="19"/>
          <w:szCs w:val="19"/>
          <w:lang w:bidi="th-TH"/>
        </w:rPr>
        <w:t xml:space="preserve">Baht </w:t>
      </w:r>
      <w:r w:rsidR="002E19D1" w:rsidRPr="007518E4">
        <w:rPr>
          <w:rFonts w:cstheme="minorHAnsi"/>
          <w:sz w:val="19"/>
          <w:szCs w:val="19"/>
          <w:lang w:bidi="th-TH"/>
        </w:rPr>
        <w:t xml:space="preserve">1,339.24 </w:t>
      </w:r>
      <w:r w:rsidRPr="00F337E9">
        <w:rPr>
          <w:rFonts w:cstheme="minorHAnsi"/>
          <w:sz w:val="19"/>
          <w:szCs w:val="19"/>
          <w:lang w:bidi="th-TH"/>
        </w:rPr>
        <w:t xml:space="preserve">million and Baht </w:t>
      </w:r>
      <w:r w:rsidR="007518E4" w:rsidRPr="007518E4">
        <w:rPr>
          <w:rFonts w:cstheme="minorHAnsi"/>
          <w:sz w:val="19"/>
          <w:szCs w:val="19"/>
          <w:lang w:bidi="th-TH"/>
        </w:rPr>
        <w:t xml:space="preserve">1,526.68 </w:t>
      </w:r>
      <w:r w:rsidRPr="00F337E9">
        <w:rPr>
          <w:rFonts w:cstheme="minorHAnsi"/>
          <w:sz w:val="19"/>
          <w:szCs w:val="19"/>
          <w:lang w:bidi="th-TH"/>
        </w:rPr>
        <w:t>million,</w:t>
      </w:r>
      <w:r w:rsidRPr="00F360F6">
        <w:rPr>
          <w:rFonts w:cstheme="minorHAnsi"/>
          <w:sz w:val="19"/>
          <w:szCs w:val="19"/>
          <w:lang w:bidi="th-TH"/>
        </w:rPr>
        <w:t xml:space="preserve"> respectively. The financial institutions have the right to define all debts or any part of the debt as well as any interest incurred, as due and must be paid immediately without any demands and has the right to cancel all unutilized credit facilities, the Company had received letters of waivers from the bank</w:t>
      </w:r>
      <w:r w:rsidR="00363CCF">
        <w:rPr>
          <w:rFonts w:cstheme="minorHAnsi"/>
          <w:sz w:val="19"/>
          <w:szCs w:val="19"/>
          <w:lang w:val="en-US" w:bidi="th-TH"/>
        </w:rPr>
        <w:t>s</w:t>
      </w:r>
      <w:r w:rsidRPr="00F360F6">
        <w:rPr>
          <w:rFonts w:cstheme="minorHAnsi"/>
          <w:sz w:val="19"/>
          <w:szCs w:val="19"/>
          <w:lang w:bidi="th-TH"/>
        </w:rPr>
        <w:t xml:space="preserve"> waiving such </w:t>
      </w:r>
      <w:r w:rsidR="005A53BD">
        <w:rPr>
          <w:rFonts w:cstheme="minorHAnsi"/>
          <w:sz w:val="19"/>
          <w:szCs w:val="19"/>
          <w:lang w:bidi="th-TH"/>
        </w:rPr>
        <w:t>conditions</w:t>
      </w:r>
      <w:r w:rsidRPr="00F360F6">
        <w:rPr>
          <w:rFonts w:cstheme="minorHAnsi"/>
          <w:sz w:val="19"/>
          <w:szCs w:val="19"/>
          <w:lang w:bidi="th-TH"/>
        </w:rPr>
        <w:t xml:space="preserve"> on </w:t>
      </w:r>
      <w:r w:rsidR="00B8574E">
        <w:rPr>
          <w:rFonts w:cstheme="minorHAnsi"/>
          <w:sz w:val="19"/>
          <w:szCs w:val="19"/>
          <w:lang w:bidi="th-TH"/>
        </w:rPr>
        <w:t>29 February 2024</w:t>
      </w:r>
      <w:r w:rsidR="001F7FE8" w:rsidRPr="00F337E9">
        <w:rPr>
          <w:rFonts w:cstheme="minorHAnsi"/>
          <w:sz w:val="19"/>
          <w:szCs w:val="19"/>
          <w:lang w:bidi="th-TH"/>
        </w:rPr>
        <w:t xml:space="preserve"> and </w:t>
      </w:r>
      <w:r w:rsidR="00B8574E">
        <w:rPr>
          <w:rFonts w:cstheme="minorHAnsi"/>
          <w:sz w:val="19"/>
          <w:szCs w:val="19"/>
          <w:lang w:bidi="th-TH"/>
        </w:rPr>
        <w:t>18 March 2024</w:t>
      </w:r>
      <w:r w:rsidR="001F7FE8" w:rsidRPr="00F337E9">
        <w:rPr>
          <w:rFonts w:cstheme="minorHAnsi"/>
          <w:sz w:val="19"/>
          <w:szCs w:val="19"/>
          <w:lang w:bidi="th-TH"/>
        </w:rPr>
        <w:t xml:space="preserve"> </w:t>
      </w:r>
      <w:r w:rsidR="001F7FE8">
        <w:rPr>
          <w:rFonts w:cstheme="minorHAnsi"/>
          <w:sz w:val="19"/>
          <w:szCs w:val="19"/>
          <w:lang w:bidi="th-TH"/>
        </w:rPr>
        <w:t xml:space="preserve">as mentioned in Note </w:t>
      </w:r>
      <w:r w:rsidR="00B8574E">
        <w:rPr>
          <w:rFonts w:cstheme="minorHAnsi"/>
          <w:sz w:val="19"/>
          <w:szCs w:val="19"/>
          <w:lang w:bidi="th-TH"/>
        </w:rPr>
        <w:t>49.</w:t>
      </w:r>
      <w:r w:rsidR="005B19EF">
        <w:rPr>
          <w:rFonts w:cstheme="minorHAnsi"/>
          <w:sz w:val="19"/>
          <w:szCs w:val="19"/>
          <w:lang w:bidi="th-TH"/>
        </w:rPr>
        <w:t xml:space="preserve"> </w:t>
      </w:r>
    </w:p>
    <w:p w14:paraId="7BC62CC2" w14:textId="77777777" w:rsidR="001F7FE8" w:rsidRDefault="001F7FE8" w:rsidP="007738E3">
      <w:pPr>
        <w:spacing w:after="0" w:line="360" w:lineRule="auto"/>
        <w:ind w:left="333"/>
        <w:jc w:val="both"/>
        <w:rPr>
          <w:rFonts w:cstheme="minorHAnsi"/>
          <w:sz w:val="19"/>
          <w:szCs w:val="19"/>
          <w:lang w:bidi="th-TH"/>
        </w:rPr>
      </w:pPr>
    </w:p>
    <w:p w14:paraId="094CB9AB" w14:textId="3084C504" w:rsidR="001F7FE8" w:rsidRPr="00F337E9" w:rsidRDefault="001F7FE8" w:rsidP="007738E3">
      <w:pPr>
        <w:spacing w:after="0" w:line="360" w:lineRule="auto"/>
        <w:ind w:left="333"/>
        <w:jc w:val="both"/>
        <w:rPr>
          <w:rFonts w:cstheme="minorHAnsi"/>
          <w:sz w:val="19"/>
          <w:szCs w:val="19"/>
          <w:lang w:bidi="th-TH"/>
        </w:rPr>
      </w:pPr>
      <w:r>
        <w:rPr>
          <w:rFonts w:cstheme="minorHAnsi"/>
          <w:sz w:val="19"/>
          <w:szCs w:val="19"/>
          <w:lang w:bidi="th-TH"/>
        </w:rPr>
        <w:t xml:space="preserve">The </w:t>
      </w:r>
      <w:r w:rsidR="002B5ADB">
        <w:rPr>
          <w:rFonts w:cstheme="minorHAnsi"/>
          <w:sz w:val="19"/>
          <w:szCs w:val="19"/>
          <w:lang w:bidi="th-TH"/>
        </w:rPr>
        <w:t>Group</w:t>
      </w:r>
      <w:r>
        <w:rPr>
          <w:rFonts w:cstheme="minorHAnsi"/>
          <w:sz w:val="19"/>
          <w:szCs w:val="19"/>
          <w:lang w:bidi="th-TH"/>
        </w:rPr>
        <w:t xml:space="preserve">’s </w:t>
      </w:r>
      <w:r w:rsidR="002B5ADB">
        <w:rPr>
          <w:rFonts w:cstheme="minorHAnsi"/>
          <w:sz w:val="19"/>
          <w:szCs w:val="19"/>
          <w:lang w:bidi="th-TH"/>
        </w:rPr>
        <w:t>management</w:t>
      </w:r>
      <w:r w:rsidR="00705828" w:rsidRPr="00F337E9">
        <w:rPr>
          <w:rFonts w:cstheme="minorHAnsi"/>
          <w:sz w:val="19"/>
          <w:szCs w:val="19"/>
          <w:lang w:bidi="th-TH"/>
        </w:rPr>
        <w:t xml:space="preserve"> </w:t>
      </w:r>
      <w:r w:rsidR="005A53BD">
        <w:rPr>
          <w:rFonts w:cstheme="minorHAnsi"/>
          <w:sz w:val="19"/>
          <w:szCs w:val="19"/>
          <w:lang w:bidi="th-TH"/>
        </w:rPr>
        <w:t xml:space="preserve">manage to seek </w:t>
      </w:r>
      <w:r w:rsidR="00474C26" w:rsidRPr="00F337E9">
        <w:rPr>
          <w:rFonts w:cstheme="minorHAnsi"/>
          <w:sz w:val="19"/>
          <w:szCs w:val="19"/>
          <w:lang w:bidi="th-TH"/>
        </w:rPr>
        <w:t xml:space="preserve">funding </w:t>
      </w:r>
      <w:r w:rsidR="009E2B7E" w:rsidRPr="00F337E9">
        <w:rPr>
          <w:rFonts w:cstheme="minorHAnsi"/>
          <w:sz w:val="19"/>
          <w:szCs w:val="19"/>
          <w:lang w:bidi="th-TH"/>
        </w:rPr>
        <w:t>and maintain</w:t>
      </w:r>
      <w:r w:rsidR="00474C26" w:rsidRPr="00F337E9">
        <w:rPr>
          <w:rFonts w:cstheme="minorHAnsi"/>
          <w:sz w:val="19"/>
          <w:szCs w:val="19"/>
          <w:lang w:bidi="th-TH"/>
        </w:rPr>
        <w:t>ing</w:t>
      </w:r>
      <w:r w:rsidR="009E2B7E" w:rsidRPr="00F337E9">
        <w:rPr>
          <w:rFonts w:cstheme="minorHAnsi"/>
          <w:sz w:val="19"/>
          <w:szCs w:val="19"/>
          <w:lang w:bidi="th-TH"/>
        </w:rPr>
        <w:t xml:space="preserve"> the </w:t>
      </w:r>
      <w:r w:rsidR="005B19EF" w:rsidRPr="00F337E9">
        <w:rPr>
          <w:rFonts w:cstheme="minorHAnsi"/>
          <w:sz w:val="19"/>
          <w:szCs w:val="19"/>
          <w:lang w:bidi="th-TH"/>
        </w:rPr>
        <w:t xml:space="preserve">adequate liquidity </w:t>
      </w:r>
      <w:r w:rsidR="006D1F1B" w:rsidRPr="00F337E9">
        <w:rPr>
          <w:rFonts w:cstheme="minorHAnsi"/>
          <w:sz w:val="19"/>
          <w:szCs w:val="19"/>
          <w:lang w:bidi="th-TH"/>
        </w:rPr>
        <w:t>and cashflow</w:t>
      </w:r>
      <w:r w:rsidR="005A53BD">
        <w:rPr>
          <w:rFonts w:cstheme="minorHAnsi"/>
          <w:sz w:val="19"/>
          <w:szCs w:val="19"/>
          <w:lang w:bidi="th-TH"/>
        </w:rPr>
        <w:t>s</w:t>
      </w:r>
      <w:r w:rsidR="006D1F1B" w:rsidRPr="00F337E9">
        <w:rPr>
          <w:rFonts w:cstheme="minorHAnsi"/>
          <w:sz w:val="19"/>
          <w:szCs w:val="19"/>
          <w:lang w:bidi="th-TH"/>
        </w:rPr>
        <w:t xml:space="preserve"> </w:t>
      </w:r>
      <w:r w:rsidR="00474C26" w:rsidRPr="00F337E9">
        <w:rPr>
          <w:rFonts w:cstheme="minorHAnsi"/>
          <w:sz w:val="19"/>
          <w:szCs w:val="19"/>
          <w:lang w:bidi="th-TH"/>
        </w:rPr>
        <w:t xml:space="preserve">for </w:t>
      </w:r>
      <w:r w:rsidR="009E2B7E" w:rsidRPr="00F337E9">
        <w:rPr>
          <w:rFonts w:cstheme="minorHAnsi"/>
          <w:sz w:val="19"/>
          <w:szCs w:val="19"/>
          <w:lang w:bidi="th-TH"/>
        </w:rPr>
        <w:t>debts payments and</w:t>
      </w:r>
      <w:r w:rsidR="00474C26" w:rsidRPr="00F337E9">
        <w:rPr>
          <w:rFonts w:cstheme="minorHAnsi"/>
          <w:sz w:val="19"/>
          <w:szCs w:val="19"/>
          <w:lang w:bidi="th-TH"/>
        </w:rPr>
        <w:t xml:space="preserve"> business operation. </w:t>
      </w:r>
      <w:r w:rsidR="007F7660" w:rsidRPr="00F337E9">
        <w:rPr>
          <w:rFonts w:cstheme="minorHAnsi"/>
          <w:sz w:val="19"/>
          <w:szCs w:val="19"/>
          <w:lang w:bidi="th-TH"/>
        </w:rPr>
        <w:t xml:space="preserve">On 17 January 2024 and 30 January 2024, the bondholders meeting for 5 </w:t>
      </w:r>
      <w:r w:rsidR="00E9720F">
        <w:rPr>
          <w:rFonts w:cstheme="minorHAnsi"/>
          <w:sz w:val="19"/>
          <w:szCs w:val="19"/>
          <w:lang w:bidi="th-TH"/>
        </w:rPr>
        <w:t xml:space="preserve">series of </w:t>
      </w:r>
      <w:r w:rsidR="007F7660" w:rsidRPr="00F337E9">
        <w:rPr>
          <w:rFonts w:cstheme="minorHAnsi"/>
          <w:sz w:val="19"/>
          <w:szCs w:val="19"/>
          <w:lang w:bidi="th-TH"/>
        </w:rPr>
        <w:t>debentures</w:t>
      </w:r>
      <w:r w:rsidR="00E9720F">
        <w:rPr>
          <w:rFonts w:cstheme="minorHAnsi"/>
          <w:sz w:val="19"/>
          <w:szCs w:val="19"/>
          <w:lang w:bidi="th-TH"/>
        </w:rPr>
        <w:t xml:space="preserve"> comprises of</w:t>
      </w:r>
      <w:r w:rsidR="007F7660" w:rsidRPr="00F337E9">
        <w:rPr>
          <w:rFonts w:cstheme="minorHAnsi"/>
          <w:sz w:val="19"/>
          <w:szCs w:val="19"/>
          <w:lang w:bidi="th-TH"/>
        </w:rPr>
        <w:t xml:space="preserve"> </w:t>
      </w:r>
      <w:r w:rsidR="00945187" w:rsidRPr="00F337E9">
        <w:rPr>
          <w:rFonts w:cstheme="minorHAnsi"/>
          <w:sz w:val="19"/>
          <w:szCs w:val="19"/>
          <w:lang w:bidi="th-TH"/>
        </w:rPr>
        <w:t>ITD242A, ITD24DA, ITD254A, ITD266A,</w:t>
      </w:r>
      <w:r w:rsidR="00E9720F">
        <w:rPr>
          <w:rFonts w:cstheme="minorHAnsi"/>
          <w:sz w:val="19"/>
          <w:szCs w:val="19"/>
          <w:lang w:bidi="th-TH"/>
        </w:rPr>
        <w:t xml:space="preserve"> and</w:t>
      </w:r>
      <w:r w:rsidR="00945187" w:rsidRPr="00F337E9">
        <w:rPr>
          <w:rFonts w:cstheme="minorHAnsi"/>
          <w:sz w:val="19"/>
          <w:szCs w:val="19"/>
          <w:lang w:bidi="th-TH"/>
        </w:rPr>
        <w:t xml:space="preserve"> ITD24DB with a total outstanding principal of Baht 14,4</w:t>
      </w:r>
      <w:r w:rsidR="00C32D63">
        <w:rPr>
          <w:rFonts w:cs="Browallia New"/>
          <w:sz w:val="19"/>
          <w:szCs w:val="24"/>
          <w:lang w:val="en-US" w:bidi="th-TH"/>
        </w:rPr>
        <w:t>5</w:t>
      </w:r>
      <w:r w:rsidR="00945187" w:rsidRPr="00F337E9">
        <w:rPr>
          <w:rFonts w:cstheme="minorHAnsi"/>
          <w:sz w:val="19"/>
          <w:szCs w:val="19"/>
          <w:lang w:bidi="th-TH"/>
        </w:rPr>
        <w:t>5 million</w:t>
      </w:r>
      <w:r w:rsidR="00E56BE0">
        <w:rPr>
          <w:rFonts w:cstheme="minorHAnsi"/>
          <w:sz w:val="19"/>
          <w:szCs w:val="19"/>
          <w:lang w:bidi="th-TH"/>
        </w:rPr>
        <w:t>,</w:t>
      </w:r>
      <w:r w:rsidR="00945187" w:rsidRPr="00F337E9">
        <w:rPr>
          <w:rFonts w:cstheme="minorHAnsi"/>
          <w:sz w:val="19"/>
          <w:szCs w:val="19"/>
          <w:lang w:bidi="th-TH"/>
        </w:rPr>
        <w:t xml:space="preserve"> passed a resolution to postpone all principal repayment next 2 years from the </w:t>
      </w:r>
      <w:r w:rsidR="005B19EF" w:rsidRPr="00F337E9">
        <w:rPr>
          <w:rFonts w:cstheme="minorHAnsi"/>
          <w:sz w:val="19"/>
          <w:szCs w:val="19"/>
          <w:lang w:bidi="th-TH"/>
        </w:rPr>
        <w:t xml:space="preserve">original </w:t>
      </w:r>
      <w:r w:rsidR="00675E46" w:rsidRPr="00F337E9">
        <w:rPr>
          <w:rFonts w:cstheme="minorHAnsi"/>
          <w:sz w:val="19"/>
          <w:szCs w:val="19"/>
          <w:lang w:bidi="th-TH"/>
        </w:rPr>
        <w:t xml:space="preserve">maturity </w:t>
      </w:r>
      <w:r w:rsidR="005B19EF" w:rsidRPr="00F337E9">
        <w:rPr>
          <w:rFonts w:cstheme="minorHAnsi"/>
          <w:sz w:val="19"/>
          <w:szCs w:val="19"/>
          <w:lang w:bidi="th-TH"/>
        </w:rPr>
        <w:t>date</w:t>
      </w:r>
      <w:r w:rsidR="00A47C6F">
        <w:rPr>
          <w:rFonts w:cstheme="minorHAnsi"/>
          <w:sz w:val="19"/>
          <w:szCs w:val="19"/>
          <w:lang w:bidi="th-TH"/>
        </w:rPr>
        <w:t>s</w:t>
      </w:r>
      <w:r w:rsidR="005B19EF" w:rsidRPr="00F337E9">
        <w:rPr>
          <w:rFonts w:cstheme="minorHAnsi"/>
          <w:sz w:val="19"/>
          <w:szCs w:val="19"/>
          <w:lang w:bidi="th-TH"/>
        </w:rPr>
        <w:t xml:space="preserve">. The Company plan to make payment for all principal on the </w:t>
      </w:r>
      <w:r w:rsidR="00675E46" w:rsidRPr="00F337E9">
        <w:rPr>
          <w:rFonts w:cstheme="minorHAnsi"/>
          <w:sz w:val="19"/>
          <w:szCs w:val="19"/>
          <w:lang w:bidi="th-TH"/>
        </w:rPr>
        <w:t xml:space="preserve">new maturity </w:t>
      </w:r>
      <w:r w:rsidR="005B19EF" w:rsidRPr="00F337E9">
        <w:rPr>
          <w:rFonts w:cstheme="minorHAnsi"/>
          <w:sz w:val="19"/>
          <w:szCs w:val="19"/>
          <w:lang w:bidi="th-TH"/>
        </w:rPr>
        <w:t>date</w:t>
      </w:r>
      <w:r w:rsidR="00D077B8">
        <w:rPr>
          <w:rFonts w:cstheme="minorHAnsi"/>
          <w:sz w:val="19"/>
          <w:szCs w:val="19"/>
          <w:lang w:bidi="th-TH"/>
        </w:rPr>
        <w:t>s</w:t>
      </w:r>
      <w:r w:rsidR="005B19EF" w:rsidRPr="00F337E9">
        <w:rPr>
          <w:rFonts w:cstheme="minorHAnsi"/>
          <w:sz w:val="19"/>
          <w:szCs w:val="19"/>
          <w:lang w:bidi="th-TH"/>
        </w:rPr>
        <w:t xml:space="preserve">, including all changes in other conditions as mentioned in </w:t>
      </w:r>
      <w:r w:rsidR="00B8574E">
        <w:rPr>
          <w:rFonts w:cstheme="minorHAnsi"/>
          <w:sz w:val="19"/>
          <w:szCs w:val="19"/>
          <w:lang w:bidi="th-TH"/>
        </w:rPr>
        <w:t>Note 49.</w:t>
      </w:r>
    </w:p>
    <w:p w14:paraId="635EF3AE" w14:textId="77777777" w:rsidR="005B19EF" w:rsidRPr="00F337E9" w:rsidRDefault="005B19EF" w:rsidP="007738E3">
      <w:pPr>
        <w:spacing w:after="0" w:line="360" w:lineRule="auto"/>
        <w:jc w:val="both"/>
        <w:rPr>
          <w:rFonts w:cstheme="minorHAnsi"/>
          <w:sz w:val="19"/>
          <w:szCs w:val="19"/>
          <w:lang w:bidi="th-TH"/>
        </w:rPr>
      </w:pPr>
    </w:p>
    <w:p w14:paraId="2B2F4A14" w14:textId="77777777" w:rsidR="005B19EF" w:rsidRDefault="005B19EF" w:rsidP="007738E3">
      <w:pPr>
        <w:spacing w:after="0" w:line="360" w:lineRule="auto"/>
        <w:jc w:val="both"/>
        <w:rPr>
          <w:rFonts w:cstheme="minorBidi"/>
          <w:sz w:val="19"/>
          <w:szCs w:val="19"/>
          <w:lang w:bidi="th-TH"/>
        </w:rPr>
      </w:pPr>
    </w:p>
    <w:p w14:paraId="663875D2" w14:textId="77777777" w:rsidR="007738E3" w:rsidRDefault="007738E3" w:rsidP="007738E3">
      <w:pPr>
        <w:spacing w:after="0" w:line="360" w:lineRule="auto"/>
        <w:jc w:val="both"/>
        <w:rPr>
          <w:rFonts w:cstheme="minorBidi"/>
          <w:sz w:val="19"/>
          <w:szCs w:val="19"/>
          <w:lang w:bidi="th-TH"/>
        </w:rPr>
      </w:pPr>
    </w:p>
    <w:p w14:paraId="656F2FE7" w14:textId="77777777" w:rsidR="007738E3" w:rsidRDefault="007738E3" w:rsidP="007738E3">
      <w:pPr>
        <w:spacing w:after="0" w:line="360" w:lineRule="auto"/>
        <w:jc w:val="both"/>
        <w:rPr>
          <w:rFonts w:cstheme="minorBidi"/>
          <w:sz w:val="19"/>
          <w:szCs w:val="19"/>
          <w:lang w:bidi="th-TH"/>
        </w:rPr>
      </w:pPr>
    </w:p>
    <w:p w14:paraId="54ABE825" w14:textId="77777777" w:rsidR="007738E3" w:rsidRDefault="007738E3" w:rsidP="007738E3">
      <w:pPr>
        <w:spacing w:after="0" w:line="360" w:lineRule="auto"/>
        <w:jc w:val="both"/>
        <w:rPr>
          <w:rFonts w:cstheme="minorBidi"/>
          <w:sz w:val="19"/>
          <w:szCs w:val="19"/>
          <w:lang w:bidi="th-TH"/>
        </w:rPr>
      </w:pPr>
    </w:p>
    <w:p w14:paraId="7488A7F2" w14:textId="77777777" w:rsidR="007738E3" w:rsidRPr="007738E3" w:rsidRDefault="007738E3" w:rsidP="007738E3">
      <w:pPr>
        <w:spacing w:after="0" w:line="360" w:lineRule="auto"/>
        <w:jc w:val="both"/>
        <w:rPr>
          <w:rFonts w:cstheme="minorBidi"/>
          <w:sz w:val="19"/>
          <w:szCs w:val="19"/>
          <w:lang w:bidi="th-TH"/>
        </w:rPr>
      </w:pPr>
    </w:p>
    <w:p w14:paraId="01947C4F" w14:textId="746171A0" w:rsidR="00C25F27" w:rsidRDefault="002B147C" w:rsidP="007738E3">
      <w:pPr>
        <w:spacing w:after="0" w:line="360" w:lineRule="auto"/>
        <w:jc w:val="both"/>
        <w:rPr>
          <w:rFonts w:cstheme="minorBidi"/>
          <w:sz w:val="19"/>
          <w:szCs w:val="19"/>
          <w:lang w:bidi="th-TH"/>
        </w:rPr>
      </w:pPr>
      <w:r w:rsidRPr="002B147C">
        <w:rPr>
          <w:rFonts w:cstheme="minorHAnsi"/>
          <w:sz w:val="19"/>
          <w:szCs w:val="19"/>
          <w:lang w:bidi="th-TH"/>
        </w:rPr>
        <w:lastRenderedPageBreak/>
        <w:t>Although, the Group and the Company are under process to follow business operations plan and financial strategy to ensure that the Group and the Company has adequate liquidity and the ability to meet liabilities payment on due date and continuously operate business.  However, the liquidity factors for Group and the Company may be dependent on the right of the bank to recall the loan and debentures, the success of execution management’s plans, the ability to seek additional sources of funds for business operation, revised the business plan to support the future operating performance and repayment loan and debentures at the new maturity dates including the continuing support of the provider of the bank facilities, and the negotiation to collect the construction revenue for various projects from various contractors. These circumstances involve multiple uncertainties, which may have the potential interaction of material uncertainties and their possible cumulative effect on the financial statements. Those circumstances indicate that material uncertainties exist that may cast significant doubt on the Group’s ability to continue as a going concern.</w:t>
      </w:r>
    </w:p>
    <w:p w14:paraId="6DE0D124" w14:textId="77777777" w:rsidR="002B147C" w:rsidRPr="002B147C" w:rsidRDefault="002B147C" w:rsidP="007738E3">
      <w:pPr>
        <w:spacing w:after="0" w:line="360" w:lineRule="auto"/>
        <w:jc w:val="both"/>
        <w:rPr>
          <w:rFonts w:cstheme="minorBidi"/>
          <w:sz w:val="16"/>
          <w:szCs w:val="16"/>
          <w:lang w:bidi="th-TH"/>
        </w:rPr>
      </w:pPr>
    </w:p>
    <w:p w14:paraId="1F2301F8" w14:textId="344D6928" w:rsidR="00F337E9" w:rsidRPr="007738E3" w:rsidRDefault="00C25F27" w:rsidP="007738E3">
      <w:pPr>
        <w:pStyle w:val="ListParagraph"/>
        <w:numPr>
          <w:ilvl w:val="0"/>
          <w:numId w:val="34"/>
        </w:numPr>
        <w:shd w:val="clear" w:color="auto" w:fill="FFFFFF"/>
        <w:spacing w:after="0" w:line="360" w:lineRule="auto"/>
        <w:ind w:left="333"/>
        <w:rPr>
          <w:rFonts w:cstheme="minorHAnsi"/>
          <w:i/>
          <w:iCs/>
          <w:spacing w:val="-6"/>
          <w:sz w:val="19"/>
          <w:szCs w:val="19"/>
          <w:lang w:bidi="th-TH"/>
        </w:rPr>
      </w:pPr>
      <w:r w:rsidRPr="005A53BD">
        <w:rPr>
          <w:rFonts w:cstheme="minorHAnsi"/>
          <w:i/>
          <w:iCs/>
          <w:spacing w:val="-6"/>
          <w:sz w:val="19"/>
          <w:szCs w:val="19"/>
          <w:lang w:bidi="th-TH"/>
        </w:rPr>
        <w:t>Items that are being audited and I have</w:t>
      </w:r>
      <w:r w:rsidRPr="007738E3">
        <w:rPr>
          <w:rFonts w:cstheme="minorHAnsi"/>
          <w:i/>
          <w:iCs/>
          <w:spacing w:val="-6"/>
          <w:sz w:val="19"/>
          <w:szCs w:val="19"/>
          <w:lang w:bidi="th-TH"/>
        </w:rPr>
        <w:t xml:space="preserve"> not been able to obtain sufficient appropriate audit evidences</w:t>
      </w:r>
      <w:r w:rsidR="005A53BD">
        <w:rPr>
          <w:rFonts w:cstheme="minorHAnsi"/>
          <w:i/>
          <w:iCs/>
          <w:spacing w:val="-6"/>
          <w:sz w:val="19"/>
          <w:szCs w:val="19"/>
          <w:lang w:bidi="th-TH"/>
        </w:rPr>
        <w:t xml:space="preserve"> </w:t>
      </w:r>
      <w:r w:rsidR="005A53BD" w:rsidRPr="005A53BD">
        <w:rPr>
          <w:rFonts w:cstheme="minorHAnsi"/>
          <w:i/>
          <w:iCs/>
          <w:spacing w:val="-6"/>
          <w:sz w:val="19"/>
          <w:szCs w:val="19"/>
          <w:lang w:bidi="th-TH"/>
        </w:rPr>
        <w:t>caused by the limitation on situation</w:t>
      </w:r>
    </w:p>
    <w:p w14:paraId="533CF2EE" w14:textId="4519C098" w:rsidR="00C25F27" w:rsidRPr="007738E3" w:rsidRDefault="004A58F5" w:rsidP="007738E3">
      <w:pPr>
        <w:shd w:val="clear" w:color="auto" w:fill="FFFFFF"/>
        <w:spacing w:after="0" w:line="360" w:lineRule="auto"/>
        <w:jc w:val="thaiDistribute"/>
        <w:rPr>
          <w:rFonts w:cstheme="minorHAnsi"/>
          <w:i/>
          <w:iCs/>
          <w:sz w:val="16"/>
          <w:szCs w:val="16"/>
          <w:lang w:bidi="th-TH"/>
        </w:rPr>
      </w:pPr>
      <w:r>
        <w:rPr>
          <w:rFonts w:cstheme="minorHAnsi"/>
          <w:i/>
          <w:iCs/>
          <w:sz w:val="16"/>
          <w:szCs w:val="16"/>
          <w:lang w:bidi="th-TH"/>
        </w:rPr>
        <w:t xml:space="preserve">   </w:t>
      </w:r>
    </w:p>
    <w:p w14:paraId="0531C3DC" w14:textId="23C9377E" w:rsidR="00C25F27" w:rsidRDefault="00006F30" w:rsidP="00CE1BD8">
      <w:pPr>
        <w:pStyle w:val="ListParagraph"/>
        <w:numPr>
          <w:ilvl w:val="0"/>
          <w:numId w:val="41"/>
        </w:numPr>
        <w:spacing w:after="0" w:line="360" w:lineRule="auto"/>
        <w:jc w:val="both"/>
        <w:rPr>
          <w:rFonts w:cstheme="minorHAnsi"/>
          <w:sz w:val="19"/>
          <w:szCs w:val="19"/>
          <w:lang w:bidi="th-TH"/>
        </w:rPr>
      </w:pPr>
      <w:r w:rsidRPr="00CE1BD8">
        <w:rPr>
          <w:rFonts w:cstheme="minorHAnsi"/>
          <w:sz w:val="19"/>
          <w:szCs w:val="19"/>
          <w:lang w:bidi="th-TH"/>
        </w:rPr>
        <w:t xml:space="preserve">As discussed in Note </w:t>
      </w:r>
      <w:r w:rsidR="005A53BD">
        <w:rPr>
          <w:rFonts w:cstheme="minorHAnsi"/>
          <w:sz w:val="19"/>
          <w:szCs w:val="19"/>
          <w:lang w:bidi="th-TH"/>
        </w:rPr>
        <w:t>24</w:t>
      </w:r>
      <w:r w:rsidRPr="00CE1BD8">
        <w:rPr>
          <w:rFonts w:cstheme="minorHAnsi"/>
          <w:sz w:val="19"/>
          <w:szCs w:val="19"/>
          <w:lang w:bidi="th-TH"/>
        </w:rPr>
        <w:t xml:space="preserve"> to the financial statements, the consolidated and separate financial statement as at </w:t>
      </w:r>
      <w:r w:rsidRPr="00CE1BD8">
        <w:rPr>
          <w:rFonts w:cstheme="minorHAnsi"/>
          <w:sz w:val="19"/>
          <w:szCs w:val="19"/>
          <w:cs/>
          <w:lang w:bidi="th-TH"/>
        </w:rPr>
        <w:t>31</w:t>
      </w:r>
      <w:r w:rsidRPr="00CE1BD8">
        <w:rPr>
          <w:rFonts w:cstheme="minorHAnsi"/>
          <w:sz w:val="19"/>
          <w:szCs w:val="19"/>
          <w:lang w:bidi="th-TH"/>
        </w:rPr>
        <w:t xml:space="preserve"> December </w:t>
      </w:r>
      <w:r w:rsidRPr="00CE1BD8">
        <w:rPr>
          <w:rFonts w:cstheme="minorHAnsi"/>
          <w:sz w:val="19"/>
          <w:szCs w:val="19"/>
          <w:cs/>
          <w:lang w:bidi="th-TH"/>
        </w:rPr>
        <w:t>2023</w:t>
      </w:r>
      <w:r w:rsidRPr="00CE1BD8">
        <w:rPr>
          <w:rFonts w:cstheme="minorHAnsi"/>
          <w:sz w:val="19"/>
          <w:szCs w:val="19"/>
          <w:lang w:bidi="th-TH"/>
        </w:rPr>
        <w:t xml:space="preserve"> include the development costs for concession right – Dawei Project totaling Baht </w:t>
      </w:r>
      <w:r w:rsidR="00666688" w:rsidRPr="00CE1BD8">
        <w:rPr>
          <w:rFonts w:cstheme="minorHAnsi"/>
          <w:sz w:val="19"/>
          <w:szCs w:val="19"/>
          <w:lang w:bidi="th-TH"/>
        </w:rPr>
        <w:t>7,849.23</w:t>
      </w:r>
      <w:r w:rsidRPr="00CE1BD8">
        <w:rPr>
          <w:rFonts w:cstheme="minorHAnsi"/>
          <w:sz w:val="19"/>
          <w:szCs w:val="19"/>
          <w:lang w:bidi="th-TH"/>
        </w:rPr>
        <w:t xml:space="preserve"> million and Baht </w:t>
      </w:r>
      <w:r w:rsidR="00666688" w:rsidRPr="00CE1BD8">
        <w:rPr>
          <w:rFonts w:cstheme="minorHAnsi"/>
          <w:sz w:val="19"/>
          <w:szCs w:val="19"/>
          <w:lang w:bidi="th-TH"/>
        </w:rPr>
        <w:t>5,205.96</w:t>
      </w:r>
      <w:r w:rsidRPr="00CE1BD8">
        <w:rPr>
          <w:rFonts w:cstheme="minorHAnsi"/>
          <w:sz w:val="19"/>
          <w:szCs w:val="19"/>
          <w:lang w:bidi="th-TH"/>
        </w:rPr>
        <w:t xml:space="preserve"> million, respectively and investment in subsidiary and long-term loan to the group of subsidiaries to invest in the development of such project, totaling Baht</w:t>
      </w:r>
      <w:r w:rsidR="007F2098" w:rsidRPr="00CE1BD8">
        <w:rPr>
          <w:rFonts w:cstheme="minorHAnsi"/>
          <w:sz w:val="19"/>
          <w:szCs w:val="19"/>
          <w:lang w:bidi="th-TH"/>
        </w:rPr>
        <w:t xml:space="preserve"> 2,476.27</w:t>
      </w:r>
      <w:r w:rsidRPr="00CE1BD8">
        <w:rPr>
          <w:rFonts w:cstheme="minorHAnsi"/>
          <w:sz w:val="19"/>
          <w:szCs w:val="19"/>
          <w:lang w:bidi="th-TH"/>
        </w:rPr>
        <w:t xml:space="preserve"> million and Baht </w:t>
      </w:r>
      <w:r w:rsidR="007F2098" w:rsidRPr="00CE1BD8">
        <w:rPr>
          <w:rFonts w:cstheme="minorHAnsi"/>
          <w:sz w:val="19"/>
          <w:szCs w:val="19"/>
          <w:lang w:bidi="th-TH"/>
        </w:rPr>
        <w:t>104.33</w:t>
      </w:r>
      <w:r w:rsidRPr="00CE1BD8">
        <w:rPr>
          <w:rFonts w:cstheme="minorHAnsi"/>
          <w:sz w:val="19"/>
          <w:szCs w:val="19"/>
          <w:lang w:bidi="th-TH"/>
        </w:rPr>
        <w:t xml:space="preserve"> million, respectively. The Group had started the development in the project areas since the year </w:t>
      </w:r>
      <w:r w:rsidRPr="00CE1BD8">
        <w:rPr>
          <w:rFonts w:cstheme="minorHAnsi"/>
          <w:sz w:val="19"/>
          <w:szCs w:val="19"/>
          <w:cs/>
          <w:lang w:bidi="th-TH"/>
        </w:rPr>
        <w:t xml:space="preserve">2010. </w:t>
      </w:r>
      <w:r w:rsidRPr="00CE1BD8">
        <w:rPr>
          <w:rFonts w:cstheme="minorHAnsi"/>
          <w:sz w:val="19"/>
          <w:szCs w:val="19"/>
          <w:lang w:bidi="th-TH"/>
        </w:rPr>
        <w:t xml:space="preserve">Subsequently in the year </w:t>
      </w:r>
      <w:r w:rsidRPr="00CE1BD8">
        <w:rPr>
          <w:rFonts w:cstheme="minorHAnsi"/>
          <w:sz w:val="19"/>
          <w:szCs w:val="19"/>
          <w:cs/>
          <w:lang w:bidi="th-TH"/>
        </w:rPr>
        <w:t>2013</w:t>
      </w:r>
      <w:r w:rsidRPr="00CE1BD8">
        <w:rPr>
          <w:rFonts w:cstheme="minorHAnsi"/>
          <w:sz w:val="19"/>
          <w:szCs w:val="19"/>
          <w:lang w:bidi="th-TH"/>
        </w:rPr>
        <w:t>, such project has been supported from the Governments of Thailand and the Republic of the Union of Myanmar who established the Special Purpose Vehicle (Dawei SEZ Development Company Limited “SPV”) to mutually promote the project and determine the development project policy. SPV considered that the Company has the right to reimburse the costs previously incurred by the Group</w:t>
      </w:r>
      <w:r w:rsidR="00DE7E31" w:rsidRPr="00CE1BD8">
        <w:rPr>
          <w:rFonts w:cstheme="minorHAnsi"/>
          <w:sz w:val="19"/>
          <w:szCs w:val="19"/>
          <w:lang w:bidi="th-TH"/>
        </w:rPr>
        <w:t xml:space="preserve"> under Tripartile Memorandum. </w:t>
      </w:r>
      <w:r w:rsidRPr="00CE1BD8">
        <w:rPr>
          <w:rFonts w:cstheme="minorHAnsi"/>
          <w:sz w:val="19"/>
          <w:szCs w:val="19"/>
          <w:lang w:bidi="th-TH"/>
        </w:rPr>
        <w:t xml:space="preserve">However, on </w:t>
      </w:r>
      <w:r w:rsidRPr="00CE1BD8">
        <w:rPr>
          <w:rFonts w:cstheme="minorHAnsi"/>
          <w:sz w:val="19"/>
          <w:szCs w:val="19"/>
          <w:cs/>
          <w:lang w:bidi="th-TH"/>
        </w:rPr>
        <w:t>30</w:t>
      </w:r>
      <w:r w:rsidRPr="00CE1BD8">
        <w:rPr>
          <w:rFonts w:cstheme="minorHAnsi"/>
          <w:sz w:val="19"/>
          <w:szCs w:val="19"/>
          <w:lang w:bidi="th-TH"/>
        </w:rPr>
        <w:t xml:space="preserve"> December </w:t>
      </w:r>
      <w:r w:rsidRPr="00CE1BD8">
        <w:rPr>
          <w:rFonts w:cstheme="minorHAnsi"/>
          <w:sz w:val="19"/>
          <w:szCs w:val="19"/>
          <w:cs/>
          <w:lang w:bidi="th-TH"/>
        </w:rPr>
        <w:t>2020</w:t>
      </w:r>
      <w:r w:rsidRPr="00CE1BD8">
        <w:rPr>
          <w:rFonts w:cstheme="minorHAnsi"/>
          <w:sz w:val="19"/>
          <w:szCs w:val="19"/>
          <w:lang w:bidi="th-TH"/>
        </w:rPr>
        <w:t xml:space="preserve">, the Concessionaires received the Notice of Termination for all concession agreements of the DSEZ Initial Phase from the DSEZ MC claiming </w:t>
      </w:r>
      <w:r w:rsidR="00666688" w:rsidRPr="00CE1BD8">
        <w:rPr>
          <w:rFonts w:cstheme="minorHAnsi"/>
          <w:sz w:val="19"/>
          <w:szCs w:val="19"/>
          <w:lang w:bidi="th-TH"/>
        </w:rPr>
        <w:t xml:space="preserve">that the Group of Concessionaires had breached the conditions of the concession agreement relevant to the payment of annual concession fee and the conditions of the concession agreement for the Initial Industrial Estate and Two-lane Road connecting the Dawei Special Economy Zone and the Thai-Myanmar border which additionally determined by the DSEZ MC. This requires the Group of Concessionaires to enforce Italian-Thai Development Public Company Limited to sign the document releasing the Group’s right to reimburse the previous investments under the Tripartite Memorandum. In order to protect </w:t>
      </w:r>
      <w:r w:rsidR="00666688" w:rsidRPr="00CE1BD8">
        <w:rPr>
          <w:rFonts w:cstheme="minorHAnsi"/>
          <w:spacing w:val="-6"/>
          <w:sz w:val="19"/>
          <w:szCs w:val="19"/>
          <w:lang w:bidi="th-TH"/>
        </w:rPr>
        <w:t>the right with regard to the reimbursement of investment cost mentioned in the aforementioned</w:t>
      </w:r>
      <w:r w:rsidR="00666688" w:rsidRPr="00CE1BD8">
        <w:rPr>
          <w:rFonts w:cstheme="minorHAnsi"/>
          <w:sz w:val="19"/>
          <w:szCs w:val="19"/>
          <w:lang w:bidi="th-TH"/>
        </w:rPr>
        <w:t xml:space="preserve"> memorandum, on 19 January 2021, the Group of Concessionaires sent the notice to elucidate the reason for cancellation of agreement to the DSEZ MC disputing that the additional conditions do not form part of the conditions mutually agreed by the Group of Concessionaries but merely came from the judgement of the DSEZ MC only. The Group of </w:t>
      </w:r>
      <w:r w:rsidR="00666688" w:rsidRPr="00CE1BD8">
        <w:rPr>
          <w:rFonts w:cstheme="minorHAnsi"/>
          <w:sz w:val="19"/>
          <w:szCs w:val="19"/>
          <w:lang w:bidi="th-TH"/>
        </w:rPr>
        <w:lastRenderedPageBreak/>
        <w:t>Concessionaires proposed a discussion on this matter to DSEZ MC and awaiting the response for discussion from such entity.</w:t>
      </w:r>
    </w:p>
    <w:p w14:paraId="0F099F10" w14:textId="77777777" w:rsidR="00E632A7" w:rsidRPr="00CE1BD8" w:rsidRDefault="00E632A7" w:rsidP="00E632A7">
      <w:pPr>
        <w:pStyle w:val="ListParagraph"/>
        <w:spacing w:after="0" w:line="360" w:lineRule="auto"/>
        <w:jc w:val="both"/>
        <w:rPr>
          <w:rFonts w:cstheme="minorHAnsi"/>
          <w:sz w:val="19"/>
          <w:szCs w:val="19"/>
          <w:lang w:bidi="th-TH"/>
        </w:rPr>
      </w:pPr>
    </w:p>
    <w:p w14:paraId="4B63D52C" w14:textId="77777777" w:rsidR="0033624F" w:rsidRDefault="008B66C2" w:rsidP="00DD2F4F">
      <w:pPr>
        <w:spacing w:after="0" w:line="360" w:lineRule="auto"/>
        <w:ind w:left="720"/>
        <w:jc w:val="both"/>
        <w:rPr>
          <w:rFonts w:cstheme="minorHAnsi"/>
          <w:sz w:val="19"/>
          <w:szCs w:val="19"/>
          <w:lang w:bidi="th-TH"/>
        </w:rPr>
      </w:pPr>
      <w:r w:rsidRPr="008B66C2">
        <w:rPr>
          <w:rFonts w:cstheme="minorHAnsi"/>
          <w:sz w:val="19"/>
          <w:szCs w:val="19"/>
          <w:lang w:bidi="th-TH"/>
        </w:rPr>
        <w:t xml:space="preserve">As above mentioned, although the right for the reimbursement of the Group’s previous investment for development of Industrial Estate and related infrastructure and utilities in the DSEZ is still in compliance with the Tripartite Memorandum, the reimbursement amount depends on the Due Diligence report, for which the Company does not have the right to access such report. In addition, it depends on the progress of the development of the DSEZ (Full Phase), which was supported by the government of Thailand and Republic of the Union of Myanmar to promote others concession projects in the future as well as the investment from new investors who are interested in each concession project. </w:t>
      </w:r>
    </w:p>
    <w:p w14:paraId="709C52CA" w14:textId="77777777" w:rsidR="00F337E9" w:rsidRPr="005D53E7" w:rsidRDefault="00F337E9" w:rsidP="00DD2F4F">
      <w:pPr>
        <w:shd w:val="clear" w:color="auto" w:fill="FFFFFF"/>
        <w:spacing w:after="0" w:line="360" w:lineRule="auto"/>
        <w:jc w:val="both"/>
        <w:rPr>
          <w:rFonts w:cstheme="minorHAnsi"/>
          <w:i/>
          <w:iCs/>
          <w:sz w:val="19"/>
          <w:szCs w:val="19"/>
          <w:lang w:bidi="th-TH"/>
        </w:rPr>
      </w:pPr>
    </w:p>
    <w:p w14:paraId="65291790" w14:textId="27973AC7" w:rsidR="0065066E" w:rsidRDefault="0065066E" w:rsidP="00DD2F4F">
      <w:pPr>
        <w:pStyle w:val="ListParagraph"/>
        <w:spacing w:after="0" w:line="360" w:lineRule="auto"/>
        <w:jc w:val="both"/>
        <w:rPr>
          <w:rFonts w:cstheme="minorHAnsi"/>
          <w:sz w:val="19"/>
          <w:szCs w:val="19"/>
          <w:lang w:bidi="th-TH"/>
        </w:rPr>
      </w:pPr>
      <w:r w:rsidRPr="00453CFC">
        <w:rPr>
          <w:rFonts w:cstheme="minorHAnsi"/>
          <w:sz w:val="19"/>
          <w:szCs w:val="19"/>
          <w:lang w:bidi="th-TH"/>
        </w:rPr>
        <w:t xml:space="preserve">As </w:t>
      </w:r>
      <w:r w:rsidR="00E632A7">
        <w:rPr>
          <w:rFonts w:cstheme="minorHAnsi"/>
          <w:sz w:val="19"/>
          <w:szCs w:val="19"/>
          <w:lang w:bidi="th-TH"/>
        </w:rPr>
        <w:t>at</w:t>
      </w:r>
      <w:r w:rsidRPr="00453CFC">
        <w:rPr>
          <w:rFonts w:cstheme="minorHAnsi"/>
          <w:sz w:val="19"/>
          <w:szCs w:val="19"/>
          <w:lang w:bidi="th-TH"/>
        </w:rPr>
        <w:t xml:space="preserve"> 31 December 2023, the Group’s management is unable to assess the potential impact (if any) on the realizable value of the development costs for concession right – Dawei Project whether they will be higher or lower than the amounts recorded by the Group in the financial statements. In addition, the impact from the Notice of Termination for all concession agreements of the DSEZ Initial Phase is in the process of negotiation with the DSEZ MC which has not been concluded. Moreover, the current political and economic situation in the Republic of the Union of Myanmar is uncertain that may affect the development of such projects of the Group in the future. Therefore, I am unable to assess the potential impact (if any) on the balance of the development costs for the concession right - Dawei Project in the consolidated and separate financial statements and the valuation of investment in subsidiary and long-term loans to the group of subsidiaries in the separate financial statements. I am also unable to consider the effect</w:t>
      </w:r>
      <w:r w:rsidR="007D724F">
        <w:rPr>
          <w:rFonts w:cstheme="minorHAnsi"/>
          <w:sz w:val="19"/>
          <w:szCs w:val="19"/>
          <w:lang w:bidi="th-TH"/>
        </w:rPr>
        <w:t xml:space="preserve"> (if any)</w:t>
      </w:r>
      <w:r w:rsidRPr="00453CFC">
        <w:rPr>
          <w:rFonts w:cstheme="minorHAnsi"/>
          <w:sz w:val="19"/>
          <w:szCs w:val="19"/>
          <w:lang w:bidi="th-TH"/>
        </w:rPr>
        <w:t xml:space="preserve"> it may have on the consolidated and separate financial statements caused by the uncertainty and the limitation on situation above.</w:t>
      </w:r>
    </w:p>
    <w:p w14:paraId="383B0847" w14:textId="77777777" w:rsidR="00477AB6" w:rsidRDefault="00477AB6" w:rsidP="007738E3">
      <w:pPr>
        <w:pStyle w:val="ListParagraph"/>
        <w:spacing w:after="0" w:line="360" w:lineRule="auto"/>
        <w:jc w:val="thaiDistribute"/>
        <w:rPr>
          <w:rFonts w:cstheme="minorHAnsi"/>
          <w:sz w:val="19"/>
          <w:szCs w:val="19"/>
          <w:lang w:bidi="th-TH"/>
        </w:rPr>
      </w:pPr>
    </w:p>
    <w:p w14:paraId="7FE1207C" w14:textId="53CF4E28" w:rsidR="00D17559" w:rsidRDefault="00477AB6" w:rsidP="00CE1BD8">
      <w:pPr>
        <w:pStyle w:val="ListParagraph"/>
        <w:numPr>
          <w:ilvl w:val="0"/>
          <w:numId w:val="41"/>
        </w:numPr>
        <w:spacing w:after="0" w:line="360" w:lineRule="auto"/>
        <w:jc w:val="both"/>
        <w:rPr>
          <w:rFonts w:cstheme="minorHAnsi"/>
          <w:sz w:val="19"/>
          <w:szCs w:val="19"/>
          <w:lang w:bidi="th-TH"/>
        </w:rPr>
      </w:pPr>
      <w:r w:rsidRPr="005362E9">
        <w:rPr>
          <w:rFonts w:cstheme="minorHAnsi"/>
          <w:sz w:val="19"/>
          <w:szCs w:val="19"/>
          <w:lang w:bidi="th-TH"/>
        </w:rPr>
        <w:t>As discussed in Note</w:t>
      </w:r>
      <w:r w:rsidR="0009109A">
        <w:rPr>
          <w:rFonts w:cstheme="minorHAnsi"/>
          <w:sz w:val="19"/>
          <w:szCs w:val="19"/>
          <w:lang w:bidi="th-TH"/>
        </w:rPr>
        <w:t>s</w:t>
      </w:r>
      <w:r w:rsidRPr="005362E9">
        <w:rPr>
          <w:rFonts w:cstheme="minorHAnsi"/>
          <w:sz w:val="19"/>
          <w:szCs w:val="19"/>
          <w:lang w:bidi="th-TH"/>
        </w:rPr>
        <w:t xml:space="preserve"> </w:t>
      </w:r>
      <w:r w:rsidR="00416068">
        <w:rPr>
          <w:rFonts w:cstheme="minorHAnsi"/>
          <w:sz w:val="19"/>
          <w:szCs w:val="19"/>
          <w:lang w:bidi="th-TH"/>
        </w:rPr>
        <w:t>9 and 11</w:t>
      </w:r>
      <w:r w:rsidRPr="005362E9">
        <w:rPr>
          <w:rFonts w:cstheme="minorHAnsi"/>
          <w:sz w:val="19"/>
          <w:szCs w:val="19"/>
          <w:lang w:bidi="th-TH"/>
        </w:rPr>
        <w:t xml:space="preserve"> to the financial statements, the consolidated and separate statement of financial position as at 31 December 2023 included trade accounts receivable</w:t>
      </w:r>
      <w:r w:rsidR="005A53BD">
        <w:rPr>
          <w:rFonts w:cstheme="minorHAnsi"/>
          <w:sz w:val="19"/>
          <w:szCs w:val="19"/>
          <w:lang w:bidi="th-TH"/>
        </w:rPr>
        <w:t xml:space="preserve"> </w:t>
      </w:r>
      <w:r w:rsidRPr="005362E9">
        <w:rPr>
          <w:rFonts w:cstheme="minorHAnsi"/>
          <w:sz w:val="19"/>
          <w:szCs w:val="19"/>
          <w:lang w:bidi="th-TH"/>
        </w:rPr>
        <w:t>and contract assets for a construction project of Baht 2,576 million, which the construction work was partially completed in October 2022.</w:t>
      </w:r>
      <w:r w:rsidR="00D17559" w:rsidRPr="005362E9">
        <w:rPr>
          <w:rFonts w:cstheme="minorHAnsi"/>
          <w:sz w:val="19"/>
          <w:szCs w:val="19"/>
          <w:lang w:bidi="th-TH"/>
        </w:rPr>
        <w:t xml:space="preserve"> Currently, the </w:t>
      </w:r>
      <w:r w:rsidR="005A53BD">
        <w:rPr>
          <w:rFonts w:cstheme="minorHAnsi"/>
          <w:sz w:val="19"/>
          <w:szCs w:val="19"/>
          <w:lang w:bidi="th-TH"/>
        </w:rPr>
        <w:t>contractor</w:t>
      </w:r>
      <w:r w:rsidR="00D17559" w:rsidRPr="005362E9">
        <w:rPr>
          <w:rFonts w:cstheme="minorHAnsi"/>
          <w:sz w:val="19"/>
          <w:szCs w:val="19"/>
          <w:lang w:bidi="th-TH"/>
        </w:rPr>
        <w:t xml:space="preserve"> is waiting for Notice to proceed letter from the </w:t>
      </w:r>
      <w:r w:rsidR="002A7072" w:rsidRPr="005362E9">
        <w:rPr>
          <w:rFonts w:cstheme="minorHAnsi"/>
          <w:sz w:val="19"/>
          <w:szCs w:val="19"/>
          <w:lang w:bidi="th-TH"/>
        </w:rPr>
        <w:t>government sector</w:t>
      </w:r>
      <w:r w:rsidR="00D17559" w:rsidRPr="005362E9">
        <w:rPr>
          <w:rFonts w:cstheme="minorHAnsi"/>
          <w:sz w:val="19"/>
          <w:szCs w:val="19"/>
          <w:lang w:bidi="th-TH"/>
        </w:rPr>
        <w:t xml:space="preserve">. The </w:t>
      </w:r>
      <w:r w:rsidR="005A53BD">
        <w:rPr>
          <w:rFonts w:cstheme="minorHAnsi"/>
          <w:sz w:val="19"/>
          <w:szCs w:val="19"/>
          <w:lang w:bidi="th-TH"/>
        </w:rPr>
        <w:t>contractor</w:t>
      </w:r>
      <w:r w:rsidR="00D17559" w:rsidRPr="005362E9">
        <w:rPr>
          <w:rFonts w:cstheme="minorHAnsi"/>
          <w:sz w:val="19"/>
          <w:szCs w:val="19"/>
          <w:lang w:bidi="th-TH"/>
        </w:rPr>
        <w:t xml:space="preserve"> </w:t>
      </w:r>
      <w:r w:rsidR="002E702B" w:rsidRPr="005362E9">
        <w:rPr>
          <w:rFonts w:cstheme="minorHAnsi"/>
          <w:sz w:val="19"/>
          <w:szCs w:val="19"/>
          <w:lang w:bidi="th-TH"/>
        </w:rPr>
        <w:t>requests</w:t>
      </w:r>
      <w:r w:rsidR="00D17559" w:rsidRPr="005362E9">
        <w:rPr>
          <w:rFonts w:cstheme="minorHAnsi"/>
          <w:sz w:val="19"/>
          <w:szCs w:val="19"/>
          <w:lang w:bidi="th-TH"/>
        </w:rPr>
        <w:t xml:space="preserve"> the Company to extend construction </w:t>
      </w:r>
      <w:r w:rsidR="001B3249" w:rsidRPr="005362E9">
        <w:rPr>
          <w:rFonts w:cstheme="minorHAnsi"/>
          <w:sz w:val="19"/>
          <w:szCs w:val="19"/>
          <w:lang w:bidi="th-TH"/>
        </w:rPr>
        <w:t>instalment</w:t>
      </w:r>
      <w:r w:rsidR="002E702B" w:rsidRPr="005362E9">
        <w:rPr>
          <w:rFonts w:cstheme="minorHAnsi"/>
          <w:sz w:val="19"/>
          <w:szCs w:val="19"/>
          <w:lang w:bidi="th-TH"/>
        </w:rPr>
        <w:t xml:space="preserve"> payment term</w:t>
      </w:r>
      <w:r w:rsidR="001B3249" w:rsidRPr="005362E9">
        <w:rPr>
          <w:rFonts w:cstheme="minorHAnsi"/>
          <w:sz w:val="19"/>
          <w:szCs w:val="19"/>
          <w:lang w:bidi="th-TH"/>
        </w:rPr>
        <w:t xml:space="preserve"> including accrued interest until</w:t>
      </w:r>
      <w:r w:rsidR="002A7072" w:rsidRPr="005362E9">
        <w:rPr>
          <w:rFonts w:cstheme="minorHAnsi"/>
          <w:sz w:val="19"/>
          <w:szCs w:val="19"/>
          <w:lang w:bidi="th-TH"/>
        </w:rPr>
        <w:t xml:space="preserve"> now</w:t>
      </w:r>
      <w:r w:rsidR="002E702B" w:rsidRPr="005362E9">
        <w:rPr>
          <w:rFonts w:cstheme="minorHAnsi"/>
          <w:sz w:val="19"/>
          <w:szCs w:val="19"/>
          <w:lang w:bidi="th-TH"/>
        </w:rPr>
        <w:t>. T</w:t>
      </w:r>
      <w:r w:rsidR="002A7072" w:rsidRPr="005362E9">
        <w:rPr>
          <w:rFonts w:cstheme="minorHAnsi"/>
          <w:sz w:val="19"/>
          <w:szCs w:val="19"/>
          <w:lang w:bidi="th-TH"/>
        </w:rPr>
        <w:t xml:space="preserve">he </w:t>
      </w:r>
      <w:r w:rsidR="005A53BD">
        <w:rPr>
          <w:rFonts w:cstheme="minorHAnsi"/>
          <w:sz w:val="19"/>
          <w:szCs w:val="19"/>
          <w:lang w:bidi="th-TH"/>
        </w:rPr>
        <w:t>contractor</w:t>
      </w:r>
      <w:r w:rsidR="002A7072" w:rsidRPr="005362E9">
        <w:rPr>
          <w:rFonts w:cstheme="minorHAnsi"/>
          <w:sz w:val="19"/>
          <w:szCs w:val="19"/>
          <w:lang w:bidi="th-TH"/>
        </w:rPr>
        <w:t xml:space="preserve"> </w:t>
      </w:r>
      <w:r w:rsidR="002E702B" w:rsidRPr="005362E9">
        <w:rPr>
          <w:rFonts w:cstheme="minorHAnsi"/>
          <w:sz w:val="19"/>
          <w:szCs w:val="19"/>
          <w:lang w:bidi="th-TH"/>
        </w:rPr>
        <w:t xml:space="preserve">will make payment to the Company whenever </w:t>
      </w:r>
      <w:r w:rsidR="009D6B8B" w:rsidRPr="005362E9">
        <w:rPr>
          <w:rFonts w:cstheme="minorHAnsi"/>
          <w:sz w:val="19"/>
          <w:szCs w:val="19"/>
          <w:lang w:bidi="th-TH"/>
        </w:rPr>
        <w:t xml:space="preserve">all conditions are agreed by </w:t>
      </w:r>
      <w:r w:rsidR="002E702B" w:rsidRPr="005362E9">
        <w:rPr>
          <w:rFonts w:cstheme="minorHAnsi"/>
          <w:sz w:val="19"/>
          <w:szCs w:val="19"/>
          <w:lang w:bidi="th-TH"/>
        </w:rPr>
        <w:t>the government sector</w:t>
      </w:r>
      <w:r w:rsidR="009D6B8B" w:rsidRPr="005362E9">
        <w:rPr>
          <w:rFonts w:cstheme="minorHAnsi"/>
          <w:sz w:val="19"/>
          <w:szCs w:val="19"/>
          <w:lang w:bidi="th-TH"/>
        </w:rPr>
        <w:t xml:space="preserve">. </w:t>
      </w:r>
      <w:r w:rsidR="00D83654" w:rsidRPr="005362E9">
        <w:rPr>
          <w:rFonts w:cstheme="minorHAnsi"/>
          <w:sz w:val="19"/>
          <w:szCs w:val="19"/>
          <w:lang w:bidi="th-TH"/>
        </w:rPr>
        <w:t>Therefore,</w:t>
      </w:r>
      <w:r w:rsidR="0033624F" w:rsidRPr="005362E9">
        <w:rPr>
          <w:rFonts w:cstheme="minorHAnsi"/>
          <w:sz w:val="19"/>
          <w:szCs w:val="19"/>
          <w:lang w:bidi="th-TH"/>
        </w:rPr>
        <w:t xml:space="preserve"> the Company’s management is unable to assess the potential</w:t>
      </w:r>
      <w:r w:rsidR="005A53BD">
        <w:rPr>
          <w:rFonts w:cstheme="minorHAnsi"/>
          <w:sz w:val="19"/>
          <w:szCs w:val="19"/>
          <w:lang w:bidi="th-TH"/>
        </w:rPr>
        <w:t xml:space="preserve"> </w:t>
      </w:r>
      <w:r w:rsidR="005362E9" w:rsidRPr="00453CFC">
        <w:rPr>
          <w:rFonts w:cstheme="minorHAnsi"/>
          <w:sz w:val="19"/>
          <w:szCs w:val="19"/>
          <w:lang w:bidi="th-TH"/>
        </w:rPr>
        <w:t>on</w:t>
      </w:r>
      <w:r w:rsidR="005362E9">
        <w:rPr>
          <w:rFonts w:cstheme="minorHAnsi"/>
          <w:sz w:val="19"/>
          <w:szCs w:val="19"/>
          <w:lang w:bidi="th-TH"/>
        </w:rPr>
        <w:t xml:space="preserve"> </w:t>
      </w:r>
      <w:r w:rsidR="00AA19F9">
        <w:rPr>
          <w:rFonts w:cstheme="minorHAnsi"/>
          <w:sz w:val="19"/>
          <w:szCs w:val="19"/>
          <w:lang w:bidi="th-TH"/>
        </w:rPr>
        <w:t>such circumstance</w:t>
      </w:r>
      <w:r w:rsidR="00576F1B">
        <w:rPr>
          <w:rFonts w:cstheme="minorHAnsi"/>
          <w:sz w:val="19"/>
          <w:szCs w:val="19"/>
          <w:lang w:bidi="th-TH"/>
        </w:rPr>
        <w:t xml:space="preserve"> and unable to </w:t>
      </w:r>
      <w:r w:rsidR="007D724F">
        <w:rPr>
          <w:rFonts w:cstheme="minorHAnsi"/>
          <w:sz w:val="19"/>
          <w:szCs w:val="19"/>
          <w:lang w:bidi="th-TH"/>
        </w:rPr>
        <w:t xml:space="preserve">be </w:t>
      </w:r>
      <w:r w:rsidR="00576F1B">
        <w:rPr>
          <w:rFonts w:cstheme="minorHAnsi"/>
          <w:sz w:val="19"/>
          <w:szCs w:val="19"/>
          <w:lang w:bidi="th-TH"/>
        </w:rPr>
        <w:t>conclude</w:t>
      </w:r>
      <w:r w:rsidR="007D724F">
        <w:rPr>
          <w:rFonts w:cstheme="minorHAnsi"/>
          <w:sz w:val="19"/>
          <w:szCs w:val="19"/>
          <w:lang w:bidi="th-TH"/>
        </w:rPr>
        <w:t>d</w:t>
      </w:r>
      <w:r w:rsidR="00576F1B">
        <w:rPr>
          <w:rFonts w:cstheme="minorHAnsi"/>
          <w:sz w:val="19"/>
          <w:szCs w:val="19"/>
          <w:lang w:bidi="th-TH"/>
        </w:rPr>
        <w:t xml:space="preserve">.  I am also unable to consider the effect </w:t>
      </w:r>
      <w:r w:rsidR="007D724F">
        <w:rPr>
          <w:rFonts w:cstheme="minorHAnsi"/>
          <w:sz w:val="19"/>
          <w:szCs w:val="19"/>
          <w:lang w:bidi="th-TH"/>
        </w:rPr>
        <w:t>(</w:t>
      </w:r>
      <w:r w:rsidR="00576F1B">
        <w:rPr>
          <w:rFonts w:cstheme="minorHAnsi"/>
          <w:sz w:val="19"/>
          <w:szCs w:val="19"/>
          <w:lang w:bidi="th-TH"/>
        </w:rPr>
        <w:t xml:space="preserve">if </w:t>
      </w:r>
      <w:r w:rsidR="007D724F">
        <w:rPr>
          <w:rFonts w:cstheme="minorHAnsi"/>
          <w:sz w:val="19"/>
          <w:szCs w:val="19"/>
          <w:lang w:bidi="th-TH"/>
        </w:rPr>
        <w:t xml:space="preserve">any) </w:t>
      </w:r>
      <w:r w:rsidR="00D14DB8">
        <w:rPr>
          <w:rFonts w:cstheme="minorHAnsi"/>
          <w:sz w:val="19"/>
          <w:szCs w:val="19"/>
          <w:lang w:bidi="th-TH"/>
        </w:rPr>
        <w:t xml:space="preserve">it may have </w:t>
      </w:r>
      <w:r w:rsidR="007D724F">
        <w:rPr>
          <w:rFonts w:cstheme="minorHAnsi"/>
          <w:sz w:val="19"/>
          <w:szCs w:val="19"/>
          <w:lang w:bidi="th-TH"/>
        </w:rPr>
        <w:t xml:space="preserve">on </w:t>
      </w:r>
      <w:r w:rsidR="0066752C">
        <w:rPr>
          <w:rFonts w:cstheme="minorHAnsi"/>
          <w:sz w:val="19"/>
          <w:szCs w:val="19"/>
          <w:lang w:bidi="th-TH"/>
        </w:rPr>
        <w:t>the outstanding balance of accounts receivable and contract assets arising from the aforementioned</w:t>
      </w:r>
      <w:r w:rsidR="00D14DB8">
        <w:rPr>
          <w:rFonts w:cstheme="minorHAnsi"/>
          <w:sz w:val="19"/>
          <w:szCs w:val="19"/>
          <w:lang w:bidi="th-TH"/>
        </w:rPr>
        <w:t xml:space="preserve"> contract</w:t>
      </w:r>
      <w:r w:rsidR="00A4421D">
        <w:rPr>
          <w:rFonts w:cstheme="minorHAnsi"/>
          <w:sz w:val="19"/>
          <w:szCs w:val="19"/>
          <w:lang w:bidi="th-TH"/>
        </w:rPr>
        <w:t xml:space="preserve">, </w:t>
      </w:r>
      <w:r w:rsidR="004138B8">
        <w:rPr>
          <w:rFonts w:cstheme="minorHAnsi"/>
          <w:sz w:val="19"/>
          <w:szCs w:val="19"/>
          <w:lang w:bidi="th-TH"/>
        </w:rPr>
        <w:t xml:space="preserve">on the consolidated and separated financial statements caused by the uncertainty and the limitation of situation above. </w:t>
      </w:r>
    </w:p>
    <w:p w14:paraId="40E95500" w14:textId="4DFA975B" w:rsidR="00BA2A56" w:rsidRDefault="00BA2A56" w:rsidP="007738E3">
      <w:pPr>
        <w:pStyle w:val="ListParagraph"/>
        <w:spacing w:after="0" w:line="360" w:lineRule="auto"/>
        <w:jc w:val="thaiDistribute"/>
        <w:rPr>
          <w:rFonts w:cstheme="minorBidi"/>
          <w:sz w:val="19"/>
          <w:szCs w:val="19"/>
          <w:lang w:bidi="th-TH"/>
        </w:rPr>
      </w:pPr>
    </w:p>
    <w:p w14:paraId="3EF846C4" w14:textId="77777777" w:rsidR="00486A75" w:rsidRDefault="00486A75" w:rsidP="007738E3">
      <w:pPr>
        <w:pStyle w:val="ListParagraph"/>
        <w:spacing w:after="0" w:line="360" w:lineRule="auto"/>
        <w:jc w:val="thaiDistribute"/>
        <w:rPr>
          <w:rFonts w:cstheme="minorBidi"/>
          <w:sz w:val="19"/>
          <w:szCs w:val="19"/>
          <w:lang w:bidi="th-TH"/>
        </w:rPr>
      </w:pPr>
    </w:p>
    <w:p w14:paraId="34B1A015" w14:textId="77777777" w:rsidR="00486A75" w:rsidRDefault="00486A75" w:rsidP="007738E3">
      <w:pPr>
        <w:pStyle w:val="ListParagraph"/>
        <w:spacing w:after="0" w:line="360" w:lineRule="auto"/>
        <w:jc w:val="thaiDistribute"/>
        <w:rPr>
          <w:rFonts w:cstheme="minorBidi"/>
          <w:sz w:val="19"/>
          <w:szCs w:val="19"/>
          <w:lang w:bidi="th-TH"/>
        </w:rPr>
      </w:pPr>
    </w:p>
    <w:p w14:paraId="31735ADF" w14:textId="77777777" w:rsidR="00486A75" w:rsidRDefault="00486A75" w:rsidP="007738E3">
      <w:pPr>
        <w:pStyle w:val="ListParagraph"/>
        <w:spacing w:after="0" w:line="360" w:lineRule="auto"/>
        <w:jc w:val="thaiDistribute"/>
        <w:rPr>
          <w:rFonts w:cstheme="minorBidi"/>
          <w:sz w:val="19"/>
          <w:szCs w:val="19"/>
          <w:lang w:bidi="th-TH"/>
        </w:rPr>
      </w:pPr>
    </w:p>
    <w:p w14:paraId="6C0C7B9A" w14:textId="77777777" w:rsidR="007738E3" w:rsidRDefault="007738E3" w:rsidP="007738E3">
      <w:pPr>
        <w:pStyle w:val="ListParagraph"/>
        <w:spacing w:after="0" w:line="360" w:lineRule="auto"/>
        <w:jc w:val="thaiDistribute"/>
        <w:rPr>
          <w:rFonts w:cstheme="minorBidi"/>
          <w:sz w:val="19"/>
          <w:szCs w:val="19"/>
          <w:lang w:bidi="th-TH"/>
        </w:rPr>
      </w:pPr>
    </w:p>
    <w:p w14:paraId="60E578D4" w14:textId="41A6CDF6" w:rsidR="0076134A" w:rsidRDefault="00BA2A56" w:rsidP="005B4B4D">
      <w:pPr>
        <w:pStyle w:val="ListParagraph"/>
        <w:numPr>
          <w:ilvl w:val="0"/>
          <w:numId w:val="41"/>
        </w:numPr>
        <w:spacing w:after="0" w:line="360" w:lineRule="auto"/>
        <w:jc w:val="both"/>
        <w:rPr>
          <w:rFonts w:cstheme="minorHAnsi"/>
          <w:sz w:val="19"/>
          <w:szCs w:val="19"/>
          <w:lang w:bidi="th-TH"/>
        </w:rPr>
      </w:pPr>
      <w:r w:rsidRPr="005B4B4D">
        <w:rPr>
          <w:rFonts w:cstheme="minorHAnsi"/>
          <w:sz w:val="19"/>
          <w:szCs w:val="19"/>
          <w:lang w:bidi="th-TH"/>
        </w:rPr>
        <w:t>As at 31 December 2023, investment in First Dhaka Elev</w:t>
      </w:r>
      <w:r w:rsidR="00F6724C" w:rsidRPr="005B4B4D">
        <w:rPr>
          <w:rFonts w:cstheme="minorHAnsi"/>
          <w:sz w:val="19"/>
          <w:szCs w:val="19"/>
          <w:lang w:bidi="th-TH"/>
        </w:rPr>
        <w:t>a</w:t>
      </w:r>
      <w:r w:rsidRPr="005B4B4D">
        <w:rPr>
          <w:rFonts w:cstheme="minorHAnsi"/>
          <w:sz w:val="19"/>
          <w:szCs w:val="19"/>
          <w:lang w:bidi="th-TH"/>
        </w:rPr>
        <w:t>ted Expre</w:t>
      </w:r>
      <w:r w:rsidR="00F6724C" w:rsidRPr="005B4B4D">
        <w:rPr>
          <w:rFonts w:cstheme="minorHAnsi"/>
          <w:sz w:val="19"/>
          <w:szCs w:val="19"/>
          <w:lang w:bidi="th-TH"/>
        </w:rPr>
        <w:t>ssway Co.,</w:t>
      </w:r>
      <w:r w:rsidR="007738E3" w:rsidRPr="005B4B4D">
        <w:rPr>
          <w:rFonts w:cstheme="minorBidi" w:hint="cs"/>
          <w:sz w:val="19"/>
          <w:szCs w:val="19"/>
          <w:cs/>
          <w:lang w:bidi="th-TH"/>
        </w:rPr>
        <w:t xml:space="preserve"> </w:t>
      </w:r>
      <w:r w:rsidR="00F6724C" w:rsidRPr="005B4B4D">
        <w:rPr>
          <w:rFonts w:cstheme="minorHAnsi"/>
          <w:sz w:val="19"/>
          <w:szCs w:val="19"/>
          <w:lang w:bidi="th-TH"/>
        </w:rPr>
        <w:t>Ltd. (FDEE)</w:t>
      </w:r>
      <w:r w:rsidR="00A4421D" w:rsidRPr="005B4B4D">
        <w:rPr>
          <w:rFonts w:cstheme="minorHAnsi"/>
          <w:sz w:val="19"/>
          <w:szCs w:val="19"/>
          <w:lang w:bidi="th-TH"/>
        </w:rPr>
        <w:t>,</w:t>
      </w:r>
      <w:r w:rsidR="007738E3" w:rsidRPr="005B4B4D">
        <w:rPr>
          <w:rFonts w:cstheme="minorBidi" w:hint="cs"/>
          <w:sz w:val="19"/>
          <w:szCs w:val="19"/>
          <w:cs/>
          <w:lang w:bidi="th-TH"/>
        </w:rPr>
        <w:t xml:space="preserve"> </w:t>
      </w:r>
      <w:r w:rsidR="00B2117A" w:rsidRPr="005B4B4D">
        <w:rPr>
          <w:rFonts w:cstheme="minorHAnsi"/>
          <w:sz w:val="19"/>
          <w:szCs w:val="19"/>
          <w:lang w:bidi="th-TH"/>
        </w:rPr>
        <w:t>the</w:t>
      </w:r>
      <w:r w:rsidR="005A53BD" w:rsidRPr="005B4B4D">
        <w:rPr>
          <w:rFonts w:cstheme="minorHAnsi"/>
          <w:sz w:val="19"/>
          <w:szCs w:val="19"/>
          <w:lang w:bidi="th-TH"/>
        </w:rPr>
        <w:t xml:space="preserve"> investment in joint control</w:t>
      </w:r>
      <w:r w:rsidR="00F6724C" w:rsidRPr="005B4B4D">
        <w:rPr>
          <w:rFonts w:cstheme="minorHAnsi"/>
          <w:sz w:val="19"/>
          <w:szCs w:val="19"/>
          <w:lang w:bidi="th-TH"/>
        </w:rPr>
        <w:t xml:space="preserve"> company located in B</w:t>
      </w:r>
      <w:r w:rsidR="004D183C" w:rsidRPr="005B4B4D">
        <w:rPr>
          <w:rFonts w:cstheme="minorHAnsi"/>
          <w:sz w:val="19"/>
          <w:szCs w:val="19"/>
          <w:lang w:bidi="th-TH"/>
        </w:rPr>
        <w:t>angladesh</w:t>
      </w:r>
      <w:r w:rsidR="00B2117A" w:rsidRPr="005B4B4D">
        <w:rPr>
          <w:rFonts w:cstheme="minorHAnsi"/>
          <w:sz w:val="19"/>
          <w:szCs w:val="19"/>
          <w:lang w:bidi="th-TH"/>
        </w:rPr>
        <w:t>,</w:t>
      </w:r>
      <w:r w:rsidR="008E2F49" w:rsidRPr="005B4B4D">
        <w:rPr>
          <w:rFonts w:cstheme="minorHAnsi"/>
          <w:sz w:val="19"/>
          <w:szCs w:val="19"/>
          <w:lang w:bidi="th-TH"/>
        </w:rPr>
        <w:t xml:space="preserve"> is Baht 3,068.3</w:t>
      </w:r>
      <w:r w:rsidR="00873263">
        <w:rPr>
          <w:rFonts w:cstheme="minorHAnsi"/>
          <w:sz w:val="19"/>
          <w:szCs w:val="19"/>
          <w:lang w:bidi="th-TH"/>
        </w:rPr>
        <w:t>4</w:t>
      </w:r>
      <w:r w:rsidR="008E2F49" w:rsidRPr="005B4B4D">
        <w:rPr>
          <w:rFonts w:cstheme="minorHAnsi"/>
          <w:sz w:val="19"/>
          <w:szCs w:val="19"/>
          <w:lang w:bidi="th-TH"/>
        </w:rPr>
        <w:t xml:space="preserve"> million. FDEE </w:t>
      </w:r>
      <w:r w:rsidR="004205BF" w:rsidRPr="005B4B4D">
        <w:rPr>
          <w:rFonts w:cstheme="minorHAnsi"/>
          <w:sz w:val="19"/>
          <w:szCs w:val="19"/>
          <w:lang w:bidi="th-TH"/>
        </w:rPr>
        <w:t>is Bangladesh's first elevated expressway project</w:t>
      </w:r>
      <w:r w:rsidR="00D411E5" w:rsidRPr="005B4B4D">
        <w:rPr>
          <w:rFonts w:cstheme="minorHAnsi"/>
          <w:sz w:val="19"/>
          <w:szCs w:val="19"/>
          <w:lang w:bidi="th-TH"/>
        </w:rPr>
        <w:t xml:space="preserve"> and material to the separate financial statements and has an indicator for impairment. </w:t>
      </w:r>
      <w:r w:rsidR="008D6FE0" w:rsidRPr="005B4B4D">
        <w:rPr>
          <w:rFonts w:cstheme="minorHAnsi"/>
          <w:sz w:val="19"/>
          <w:szCs w:val="19"/>
          <w:lang w:bidi="th-TH"/>
        </w:rPr>
        <w:t xml:space="preserve">I obtained a cash flow projection from the management to assess the impairment. </w:t>
      </w:r>
      <w:r w:rsidR="00F55BA2" w:rsidRPr="005B4B4D">
        <w:rPr>
          <w:rFonts w:cstheme="minorHAnsi"/>
          <w:sz w:val="19"/>
          <w:szCs w:val="19"/>
          <w:lang w:bidi="th-TH"/>
        </w:rPr>
        <w:t xml:space="preserve">Currently, FDEE is in process of negotiation toll fee </w:t>
      </w:r>
      <w:r w:rsidR="008272F0" w:rsidRPr="005B4B4D">
        <w:rPr>
          <w:rFonts w:cstheme="minorHAnsi"/>
          <w:sz w:val="19"/>
          <w:szCs w:val="19"/>
          <w:lang w:bidi="th-TH"/>
        </w:rPr>
        <w:t xml:space="preserve">with the </w:t>
      </w:r>
      <w:r w:rsidR="009B2E5E" w:rsidRPr="005B4B4D">
        <w:rPr>
          <w:rFonts w:cstheme="minorHAnsi"/>
          <w:sz w:val="19"/>
          <w:szCs w:val="19"/>
          <w:lang w:bidi="th-TH"/>
        </w:rPr>
        <w:t xml:space="preserve">government sector in Bangladesh and wait for the finalised feasibility </w:t>
      </w:r>
      <w:r w:rsidR="008E1197" w:rsidRPr="005B4B4D">
        <w:rPr>
          <w:rFonts w:cstheme="minorHAnsi"/>
          <w:sz w:val="19"/>
          <w:szCs w:val="19"/>
          <w:lang w:bidi="th-TH"/>
        </w:rPr>
        <w:t>study report for the car traffic on the expressway in Bangladesh</w:t>
      </w:r>
      <w:r w:rsidR="00480873" w:rsidRPr="005B4B4D">
        <w:rPr>
          <w:rFonts w:cstheme="minorHAnsi"/>
          <w:sz w:val="19"/>
          <w:szCs w:val="19"/>
          <w:lang w:bidi="th-TH"/>
        </w:rPr>
        <w:t xml:space="preserve">, which </w:t>
      </w:r>
      <w:r w:rsidR="005B4B4D">
        <w:rPr>
          <w:rFonts w:cstheme="minorHAnsi"/>
          <w:sz w:val="19"/>
          <w:szCs w:val="19"/>
          <w:lang w:bidi="th-TH"/>
        </w:rPr>
        <w:t>the result of the update projection might be significantly changes</w:t>
      </w:r>
      <w:bookmarkStart w:id="2" w:name="_Hlk162474397"/>
      <w:r w:rsidR="005B4B4D">
        <w:rPr>
          <w:rFonts w:cstheme="minorHAnsi"/>
          <w:sz w:val="19"/>
          <w:szCs w:val="19"/>
          <w:lang w:bidi="th-TH"/>
        </w:rPr>
        <w:t xml:space="preserve">. </w:t>
      </w:r>
      <w:r w:rsidR="00480873" w:rsidRPr="005B4B4D">
        <w:rPr>
          <w:rFonts w:cstheme="minorHAnsi"/>
          <w:sz w:val="19"/>
          <w:szCs w:val="19"/>
          <w:lang w:bidi="th-TH"/>
        </w:rPr>
        <w:t>Therefore, the Company’s management is unable to asses</w:t>
      </w:r>
      <w:r w:rsidR="00A4421D" w:rsidRPr="005B4B4D">
        <w:rPr>
          <w:rFonts w:cstheme="minorHAnsi"/>
          <w:sz w:val="19"/>
          <w:szCs w:val="19"/>
          <w:lang w:bidi="th-TH"/>
        </w:rPr>
        <w:t>s</w:t>
      </w:r>
      <w:r w:rsidR="00480873" w:rsidRPr="005B4B4D">
        <w:rPr>
          <w:rFonts w:cstheme="minorHAnsi"/>
          <w:sz w:val="19"/>
          <w:szCs w:val="19"/>
          <w:lang w:bidi="th-TH"/>
        </w:rPr>
        <w:t xml:space="preserve"> the potential (if any) on such circumstances and unable to be concluded. </w:t>
      </w:r>
      <w:r w:rsidR="00A4421D" w:rsidRPr="005B4B4D">
        <w:rPr>
          <w:rFonts w:cstheme="minorHAnsi"/>
          <w:sz w:val="19"/>
          <w:szCs w:val="19"/>
          <w:lang w:bidi="th-TH"/>
        </w:rPr>
        <w:t>I am also unable to consider the effect (if any) it may have on the recoverable amount of investment in associate on the consolidated and separate financial statements caused by the uncertainty and the limitation on situation above.</w:t>
      </w:r>
    </w:p>
    <w:p w14:paraId="0B367A5D" w14:textId="77777777" w:rsidR="00D36D93" w:rsidRDefault="00D36D93" w:rsidP="00D36D93">
      <w:pPr>
        <w:pStyle w:val="ListParagraph"/>
        <w:spacing w:after="0" w:line="360" w:lineRule="auto"/>
        <w:jc w:val="both"/>
        <w:rPr>
          <w:rFonts w:cstheme="minorHAnsi"/>
          <w:sz w:val="19"/>
          <w:szCs w:val="19"/>
          <w:lang w:bidi="th-TH"/>
        </w:rPr>
      </w:pPr>
    </w:p>
    <w:bookmarkEnd w:id="2"/>
    <w:p w14:paraId="47C28FEC" w14:textId="57BDAFBF" w:rsidR="00D36D93" w:rsidRPr="00D36D93" w:rsidRDefault="0076134A" w:rsidP="00D36D93">
      <w:pPr>
        <w:pStyle w:val="ListParagraph"/>
        <w:numPr>
          <w:ilvl w:val="0"/>
          <w:numId w:val="41"/>
        </w:numPr>
        <w:spacing w:after="0" w:line="360" w:lineRule="auto"/>
        <w:jc w:val="both"/>
        <w:rPr>
          <w:rFonts w:cstheme="minorHAnsi"/>
          <w:sz w:val="19"/>
          <w:szCs w:val="19"/>
          <w:lang w:bidi="th-TH"/>
        </w:rPr>
      </w:pPr>
      <w:r w:rsidRPr="004173BF">
        <w:rPr>
          <w:rFonts w:ascii="Arial" w:hAnsi="Arial"/>
          <w:sz w:val="19"/>
          <w:szCs w:val="19"/>
        </w:rPr>
        <w:t>As discussed in Note 11.1 to the financial statements, the consolidated financial statements as at 31 December 2023 include the Company’s earned revenues not yet billed of Baht 6</w:t>
      </w:r>
      <w:r w:rsidR="00CF3702">
        <w:rPr>
          <w:rFonts w:ascii="Arial" w:hAnsi="Arial"/>
          <w:sz w:val="19"/>
          <w:szCs w:val="19"/>
        </w:rPr>
        <w:t>2.27</w:t>
      </w:r>
      <w:r w:rsidRPr="004173BF">
        <w:rPr>
          <w:rFonts w:ascii="Arial" w:hAnsi="Arial"/>
          <w:sz w:val="19"/>
          <w:szCs w:val="19"/>
        </w:rPr>
        <w:t xml:space="preserve"> million which present variation orders claims for a construction project with a State Enterprise of an overseas joint venture between the Company and an overseas subsidiary. The joint venture has completed the construction work and received the Taking Over Certificate from the employer in the year 2019 and Performance Certificate in the year 2020. Later, in June 2021, the employer made the partial payment for the construction work to the joint venture. The joint venture is currently under the negotiation with the employer to claim the remaining construction work through the Arbitration process. Therefore, </w:t>
      </w:r>
      <w:r w:rsidR="005B4B4D">
        <w:rPr>
          <w:rFonts w:ascii="Arial" w:hAnsi="Arial"/>
          <w:sz w:val="19"/>
          <w:szCs w:val="19"/>
        </w:rPr>
        <w:t xml:space="preserve">the Company’s management is unable to assess the potential (if any) on such circumstances and unable to be concluded. I am also unable to consider the effect (if any) it may have on the recoverable amount of earned revenues not yet billed on the consolidated financial statement caused by the uncertainty and the limitation on situation above. </w:t>
      </w:r>
    </w:p>
    <w:p w14:paraId="514B4DE2" w14:textId="77777777" w:rsidR="00D36D93" w:rsidRPr="00D36D93" w:rsidRDefault="00D36D93" w:rsidP="00D36D93">
      <w:pPr>
        <w:pStyle w:val="ListParagraph"/>
        <w:spacing w:after="0" w:line="360" w:lineRule="auto"/>
        <w:jc w:val="both"/>
        <w:rPr>
          <w:rFonts w:cstheme="minorHAnsi"/>
          <w:sz w:val="19"/>
          <w:szCs w:val="19"/>
          <w:lang w:bidi="th-TH"/>
        </w:rPr>
      </w:pPr>
    </w:p>
    <w:p w14:paraId="7134B611" w14:textId="787F53E6" w:rsidR="00722D3E" w:rsidRPr="00D36D93" w:rsidRDefault="004E5717" w:rsidP="00D36D93">
      <w:pPr>
        <w:pStyle w:val="ListParagraph"/>
        <w:numPr>
          <w:ilvl w:val="0"/>
          <w:numId w:val="41"/>
        </w:numPr>
        <w:spacing w:after="0" w:line="360" w:lineRule="auto"/>
        <w:jc w:val="both"/>
        <w:rPr>
          <w:rFonts w:cstheme="minorHAnsi"/>
          <w:sz w:val="19"/>
          <w:szCs w:val="19"/>
          <w:lang w:bidi="th-TH"/>
        </w:rPr>
      </w:pPr>
      <w:r w:rsidRPr="00D36D93">
        <w:rPr>
          <w:rFonts w:ascii="Arial" w:hAnsi="Arial"/>
          <w:sz w:val="19"/>
          <w:szCs w:val="19"/>
        </w:rPr>
        <w:t xml:space="preserve">As disclosed in Note </w:t>
      </w:r>
      <w:r w:rsidR="006D6941" w:rsidRPr="00D36D93">
        <w:rPr>
          <w:rFonts w:ascii="Arial" w:hAnsi="Arial"/>
          <w:sz w:val="19"/>
          <w:szCs w:val="19"/>
        </w:rPr>
        <w:t xml:space="preserve">46 </w:t>
      </w:r>
      <w:r w:rsidRPr="00D36D93">
        <w:rPr>
          <w:rFonts w:ascii="Arial" w:hAnsi="Arial"/>
          <w:sz w:val="19"/>
          <w:szCs w:val="19"/>
        </w:rPr>
        <w:t>to the financial statements, the Company has been sued by other companies in various cases for breaches of contract, claims for damages, and other matters</w:t>
      </w:r>
      <w:r w:rsidR="00FD001A" w:rsidRPr="00D36D93">
        <w:rPr>
          <w:rFonts w:ascii="Arial" w:hAnsi="Arial"/>
          <w:sz w:val="19"/>
          <w:szCs w:val="19"/>
        </w:rPr>
        <w:t xml:space="preserve"> in the consolidated financial statements and separate financial statements of</w:t>
      </w:r>
      <w:r w:rsidRPr="00D36D93">
        <w:rPr>
          <w:rFonts w:ascii="Arial" w:hAnsi="Arial"/>
          <w:sz w:val="19"/>
          <w:szCs w:val="19"/>
        </w:rPr>
        <w:t xml:space="preserve"> Baht </w:t>
      </w:r>
      <w:r w:rsidR="004558EA" w:rsidRPr="00D36D93">
        <w:rPr>
          <w:rFonts w:ascii="Arial" w:hAnsi="Arial"/>
          <w:sz w:val="19"/>
          <w:szCs w:val="19"/>
        </w:rPr>
        <w:t>4,944.97</w:t>
      </w:r>
      <w:r w:rsidR="004558EA" w:rsidRPr="00D36D93">
        <w:rPr>
          <w:rFonts w:ascii="Arial" w:hAnsi="Arial" w:hint="cs"/>
          <w:sz w:val="19"/>
          <w:szCs w:val="19"/>
          <w:cs/>
          <w:lang w:bidi="th-TH"/>
        </w:rPr>
        <w:t xml:space="preserve"> </w:t>
      </w:r>
      <w:r w:rsidRPr="00D36D93">
        <w:rPr>
          <w:rFonts w:ascii="Arial" w:hAnsi="Arial"/>
          <w:sz w:val="19"/>
          <w:szCs w:val="19"/>
        </w:rPr>
        <w:t>million</w:t>
      </w:r>
      <w:r w:rsidR="00FD001A" w:rsidRPr="00D36D93">
        <w:rPr>
          <w:rFonts w:ascii="Arial" w:hAnsi="Arial"/>
          <w:sz w:val="19"/>
          <w:szCs w:val="19"/>
        </w:rPr>
        <w:t xml:space="preserve"> and Baht 4,470.76 million, respectively</w:t>
      </w:r>
      <w:r w:rsidRPr="00D36D93">
        <w:rPr>
          <w:rFonts w:ascii="Arial" w:hAnsi="Arial"/>
          <w:sz w:val="19"/>
          <w:szCs w:val="19"/>
        </w:rPr>
        <w:t>. Currently, these the cases are under the court's consideration, and the outcomes cannot presently be concluded. Therefore, the Company's management does not make any provision for liabilities in the accounts.</w:t>
      </w:r>
      <w:r w:rsidR="00722D3E" w:rsidRPr="00D36D93">
        <w:rPr>
          <w:rFonts w:ascii="Arial" w:hAnsi="Arial"/>
          <w:sz w:val="19"/>
          <w:szCs w:val="19"/>
        </w:rPr>
        <w:t xml:space="preserve"> I am also unable to consider the effect (if any) it may have on the provision for liabilities on the consolidated and separate financial statements caused by the uncertainty and the limitation on situation above. </w:t>
      </w:r>
    </w:p>
    <w:p w14:paraId="66275E8E" w14:textId="0E39B0FA" w:rsidR="004E5717" w:rsidRDefault="004E5717" w:rsidP="007A4926">
      <w:pPr>
        <w:spacing w:after="0" w:line="360" w:lineRule="auto"/>
        <w:ind w:left="720"/>
        <w:jc w:val="thaiDistribute"/>
        <w:rPr>
          <w:rFonts w:cstheme="minorHAnsi"/>
          <w:sz w:val="19"/>
          <w:szCs w:val="19"/>
          <w:lang w:bidi="th-TH"/>
        </w:rPr>
      </w:pPr>
    </w:p>
    <w:p w14:paraId="305C9EB0" w14:textId="77777777" w:rsidR="00D36D93" w:rsidRDefault="00D36D93" w:rsidP="007A4926">
      <w:pPr>
        <w:spacing w:after="0" w:line="360" w:lineRule="auto"/>
        <w:ind w:left="720"/>
        <w:jc w:val="thaiDistribute"/>
        <w:rPr>
          <w:rFonts w:cstheme="minorHAnsi"/>
          <w:sz w:val="19"/>
          <w:szCs w:val="19"/>
          <w:lang w:bidi="th-TH"/>
        </w:rPr>
      </w:pPr>
    </w:p>
    <w:p w14:paraId="0494FA1C" w14:textId="77777777" w:rsidR="00D36D93" w:rsidRDefault="00D36D93" w:rsidP="007A4926">
      <w:pPr>
        <w:spacing w:after="0" w:line="360" w:lineRule="auto"/>
        <w:ind w:left="720"/>
        <w:jc w:val="thaiDistribute"/>
        <w:rPr>
          <w:rFonts w:cstheme="minorHAnsi"/>
          <w:sz w:val="19"/>
          <w:szCs w:val="19"/>
          <w:lang w:bidi="th-TH"/>
        </w:rPr>
      </w:pPr>
    </w:p>
    <w:p w14:paraId="1595C106" w14:textId="77777777" w:rsidR="007B5483" w:rsidRDefault="007B5483" w:rsidP="007B5483">
      <w:pPr>
        <w:spacing w:after="0" w:line="360" w:lineRule="auto"/>
        <w:jc w:val="both"/>
        <w:rPr>
          <w:rFonts w:cstheme="minorHAnsi"/>
          <w:sz w:val="19"/>
          <w:szCs w:val="19"/>
          <w:lang w:bidi="th-TH"/>
        </w:rPr>
      </w:pPr>
    </w:p>
    <w:p w14:paraId="2D1AB6A8" w14:textId="77777777" w:rsidR="007B5483" w:rsidRPr="00BF2A9B" w:rsidRDefault="007B5483" w:rsidP="007B5483">
      <w:pPr>
        <w:pStyle w:val="ListParagraph"/>
        <w:numPr>
          <w:ilvl w:val="0"/>
          <w:numId w:val="34"/>
        </w:numPr>
        <w:shd w:val="clear" w:color="auto" w:fill="FFFFFF"/>
        <w:spacing w:after="0" w:line="360" w:lineRule="auto"/>
        <w:ind w:left="364" w:hanging="364"/>
        <w:rPr>
          <w:rFonts w:cstheme="minorHAnsi"/>
          <w:i/>
          <w:iCs/>
          <w:sz w:val="19"/>
          <w:szCs w:val="19"/>
          <w:lang w:bidi="th-TH"/>
        </w:rPr>
      </w:pPr>
      <w:r w:rsidRPr="00BF2A9B">
        <w:rPr>
          <w:rFonts w:cstheme="minorHAnsi"/>
          <w:i/>
          <w:iCs/>
          <w:sz w:val="19"/>
          <w:szCs w:val="19"/>
          <w:lang w:bidi="th-TH"/>
        </w:rPr>
        <w:lastRenderedPageBreak/>
        <w:t>Unaudited joint venture’s financial information</w:t>
      </w:r>
    </w:p>
    <w:p w14:paraId="74DE1CB3" w14:textId="77777777" w:rsidR="007B5483" w:rsidRPr="00BF2A9B" w:rsidRDefault="007B5483" w:rsidP="007B5483">
      <w:pPr>
        <w:spacing w:after="0" w:line="360" w:lineRule="auto"/>
        <w:jc w:val="thaiDistribute"/>
        <w:rPr>
          <w:rFonts w:ascii="Arial" w:hAnsi="Arial"/>
          <w:sz w:val="19"/>
          <w:szCs w:val="19"/>
        </w:rPr>
      </w:pPr>
    </w:p>
    <w:p w14:paraId="07FFFEC9" w14:textId="2F594CDD" w:rsidR="007B5483" w:rsidRDefault="007B5483" w:rsidP="007B5483">
      <w:pPr>
        <w:spacing w:after="0" w:line="360" w:lineRule="auto"/>
        <w:ind w:left="351"/>
        <w:jc w:val="thaiDistribute"/>
        <w:rPr>
          <w:rFonts w:cstheme="minorHAnsi"/>
          <w:sz w:val="19"/>
          <w:szCs w:val="19"/>
          <w:lang w:bidi="th-TH"/>
        </w:rPr>
      </w:pPr>
      <w:r w:rsidRPr="00EE4B63">
        <w:rPr>
          <w:rFonts w:ascii="Arial" w:hAnsi="Arial"/>
          <w:sz w:val="19"/>
          <w:szCs w:val="19"/>
        </w:rPr>
        <w:t xml:space="preserve">As discussed in Note </w:t>
      </w:r>
      <w:r>
        <w:rPr>
          <w:rFonts w:ascii="Arial" w:hAnsi="Arial"/>
          <w:sz w:val="19"/>
          <w:szCs w:val="19"/>
        </w:rPr>
        <w:t>16</w:t>
      </w:r>
      <w:r w:rsidRPr="00EE4B63">
        <w:rPr>
          <w:rFonts w:ascii="Arial" w:hAnsi="Arial"/>
          <w:sz w:val="19"/>
          <w:szCs w:val="19"/>
        </w:rPr>
        <w:t xml:space="preserve">.3 to the financial statements, the consolidated statement of financial position as at </w:t>
      </w:r>
      <w:r>
        <w:rPr>
          <w:rFonts w:ascii="Arial" w:hAnsi="Arial"/>
          <w:sz w:val="19"/>
          <w:szCs w:val="24"/>
          <w:lang w:val="en-US" w:bidi="th-TH"/>
        </w:rPr>
        <w:t>31 December</w:t>
      </w:r>
      <w:r w:rsidRPr="00EE4B63">
        <w:rPr>
          <w:rFonts w:ascii="Arial" w:hAnsi="Arial"/>
          <w:sz w:val="19"/>
          <w:szCs w:val="24"/>
          <w:lang w:val="en-US" w:bidi="th-TH"/>
        </w:rPr>
        <w:t xml:space="preserve"> 2023</w:t>
      </w:r>
      <w:r w:rsidRPr="00EE4B63">
        <w:rPr>
          <w:rFonts w:ascii="Arial" w:hAnsi="Arial"/>
          <w:sz w:val="19"/>
          <w:szCs w:val="19"/>
        </w:rPr>
        <w:t xml:space="preserve"> included an investment in a joint venture accounted for by the equity method of Baht </w:t>
      </w:r>
      <w:r w:rsidR="00BC1772">
        <w:rPr>
          <w:rFonts w:ascii="Arial" w:hAnsi="Arial"/>
          <w:sz w:val="19"/>
          <w:szCs w:val="19"/>
        </w:rPr>
        <w:t>83.09</w:t>
      </w:r>
      <w:r w:rsidRPr="00EE4B63">
        <w:rPr>
          <w:rFonts w:ascii="Arial" w:hAnsi="Arial"/>
          <w:sz w:val="19"/>
          <w:szCs w:val="19"/>
        </w:rPr>
        <w:t xml:space="preserve"> million. Such amount was based on the financial information of a joint venture as of 30 September 2019 which was reviewed by the joint venture’s auditor. The joint venture’s management was unable </w:t>
      </w:r>
      <w:r w:rsidRPr="00453CFC">
        <w:rPr>
          <w:rFonts w:cstheme="minorHAnsi"/>
          <w:sz w:val="19"/>
          <w:szCs w:val="19"/>
          <w:lang w:bidi="th-TH"/>
        </w:rPr>
        <w:t>to assess the potential impact (if any) on the balance</w:t>
      </w:r>
      <w:r>
        <w:rPr>
          <w:rFonts w:cstheme="minorHAnsi"/>
          <w:sz w:val="19"/>
          <w:szCs w:val="19"/>
          <w:lang w:bidi="th-TH"/>
        </w:rPr>
        <w:t xml:space="preserve"> of joint venture’s assets which is jointly controlled, the proportion of joint venture’s liabilities, which is jointly liable, joint venture’s share of profit and expenses, the statement of changes in equity and the statement of cashflows. The Settlement Agreement was finalised in part of compensation of USD 75 million must be paid by contractor and the Company received its </w:t>
      </w:r>
      <w:r w:rsidR="00BC1772">
        <w:rPr>
          <w:rFonts w:cstheme="minorHAnsi"/>
          <w:sz w:val="19"/>
          <w:szCs w:val="19"/>
          <w:lang w:bidi="th-TH"/>
        </w:rPr>
        <w:t>share profit</w:t>
      </w:r>
      <w:r>
        <w:rPr>
          <w:rFonts w:cstheme="minorHAnsi"/>
          <w:sz w:val="19"/>
          <w:szCs w:val="19"/>
          <w:lang w:bidi="th-TH"/>
        </w:rPr>
        <w:t xml:space="preserve"> of USD </w:t>
      </w:r>
      <w:r w:rsidR="00BC1772">
        <w:rPr>
          <w:rFonts w:cstheme="minorHAnsi"/>
          <w:sz w:val="19"/>
          <w:szCs w:val="19"/>
          <w:lang w:bidi="th-TH"/>
        </w:rPr>
        <w:t>9</w:t>
      </w:r>
      <w:r>
        <w:rPr>
          <w:rFonts w:cstheme="minorHAnsi"/>
          <w:sz w:val="19"/>
          <w:szCs w:val="19"/>
          <w:lang w:bidi="th-TH"/>
        </w:rPr>
        <w:t xml:space="preserve"> million</w:t>
      </w:r>
      <w:r w:rsidR="00BC1772">
        <w:rPr>
          <w:rFonts w:cstheme="minorHAnsi"/>
          <w:sz w:val="19"/>
          <w:szCs w:val="19"/>
          <w:lang w:bidi="th-TH"/>
        </w:rPr>
        <w:t xml:space="preserve"> from the joint venture</w:t>
      </w:r>
      <w:r>
        <w:rPr>
          <w:rFonts w:cstheme="minorHAnsi"/>
          <w:sz w:val="19"/>
          <w:szCs w:val="19"/>
          <w:lang w:bidi="th-TH"/>
        </w:rPr>
        <w:t xml:space="preserve">. </w:t>
      </w:r>
    </w:p>
    <w:p w14:paraId="02DE0CF6" w14:textId="77777777" w:rsidR="007B5483" w:rsidRDefault="007B5483" w:rsidP="007B5483">
      <w:pPr>
        <w:spacing w:after="0" w:line="360" w:lineRule="auto"/>
        <w:ind w:left="351"/>
        <w:jc w:val="thaiDistribute"/>
        <w:rPr>
          <w:rFonts w:cstheme="minorHAnsi"/>
          <w:sz w:val="19"/>
          <w:szCs w:val="19"/>
          <w:lang w:bidi="th-TH"/>
        </w:rPr>
      </w:pPr>
    </w:p>
    <w:p w14:paraId="1BA3E5BA" w14:textId="77777777" w:rsidR="007B5483" w:rsidRPr="00BF2A9B" w:rsidRDefault="007B5483" w:rsidP="007B5483">
      <w:pPr>
        <w:pStyle w:val="ListParagraph"/>
        <w:numPr>
          <w:ilvl w:val="0"/>
          <w:numId w:val="34"/>
        </w:numPr>
        <w:shd w:val="clear" w:color="auto" w:fill="FFFFFF"/>
        <w:spacing w:after="0" w:line="360" w:lineRule="auto"/>
        <w:ind w:left="333"/>
        <w:rPr>
          <w:rFonts w:cstheme="minorHAnsi"/>
          <w:i/>
          <w:iCs/>
          <w:sz w:val="19"/>
          <w:szCs w:val="19"/>
          <w:lang w:bidi="th-TH"/>
        </w:rPr>
      </w:pPr>
      <w:r w:rsidRPr="00BF2A9B">
        <w:rPr>
          <w:rFonts w:cstheme="minorHAnsi"/>
          <w:i/>
          <w:iCs/>
          <w:sz w:val="19"/>
          <w:szCs w:val="19"/>
          <w:lang w:bidi="th-TH"/>
        </w:rPr>
        <w:t>Qualified opinion on the audit report of the component auditor</w:t>
      </w:r>
    </w:p>
    <w:p w14:paraId="79B0D86D" w14:textId="77777777" w:rsidR="007B5483" w:rsidRPr="00BF2A9B" w:rsidRDefault="007B5483" w:rsidP="007B5483">
      <w:pPr>
        <w:spacing w:after="0" w:line="360" w:lineRule="auto"/>
        <w:jc w:val="thaiDistribute"/>
        <w:rPr>
          <w:rFonts w:cstheme="minorHAnsi"/>
          <w:sz w:val="19"/>
          <w:szCs w:val="19"/>
          <w:lang w:bidi="th-TH"/>
        </w:rPr>
      </w:pPr>
    </w:p>
    <w:p w14:paraId="106BC5DC" w14:textId="402C090D" w:rsidR="007B5483" w:rsidRPr="00727A84" w:rsidRDefault="007B5483" w:rsidP="007B5483">
      <w:pPr>
        <w:spacing w:after="0" w:line="360" w:lineRule="auto"/>
        <w:ind w:left="351"/>
        <w:jc w:val="thaiDistribute"/>
        <w:rPr>
          <w:rFonts w:ascii="Arial" w:hAnsi="Arial"/>
          <w:sz w:val="19"/>
          <w:szCs w:val="19"/>
        </w:rPr>
      </w:pPr>
      <w:r w:rsidRPr="00BF2A9B">
        <w:rPr>
          <w:rFonts w:ascii="Arial" w:hAnsi="Arial"/>
          <w:sz w:val="19"/>
          <w:szCs w:val="19"/>
        </w:rPr>
        <w:t xml:space="preserve">I received the auditor’s report on the audit of financial statements of </w:t>
      </w:r>
      <w:r>
        <w:rPr>
          <w:rFonts w:ascii="Arial" w:hAnsi="Arial"/>
          <w:sz w:val="19"/>
          <w:szCs w:val="19"/>
        </w:rPr>
        <w:t xml:space="preserve">ITD </w:t>
      </w:r>
      <w:r w:rsidRPr="00BF2A9B">
        <w:rPr>
          <w:rFonts w:cstheme="minorHAnsi"/>
          <w:sz w:val="19"/>
          <w:szCs w:val="19"/>
          <w:lang w:bidi="th-TH"/>
        </w:rPr>
        <w:t>Bangladesh</w:t>
      </w:r>
      <w:r>
        <w:rPr>
          <w:rFonts w:cstheme="minorHAnsi"/>
          <w:sz w:val="19"/>
          <w:szCs w:val="19"/>
          <w:lang w:bidi="th-TH"/>
        </w:rPr>
        <w:t xml:space="preserve"> Company Limited, </w:t>
      </w:r>
      <w:r>
        <w:rPr>
          <w:rFonts w:ascii="Arial" w:hAnsi="Arial"/>
          <w:sz w:val="19"/>
          <w:szCs w:val="19"/>
        </w:rPr>
        <w:t xml:space="preserve">a </w:t>
      </w:r>
      <w:r w:rsidRPr="00BF2A9B">
        <w:rPr>
          <w:rFonts w:ascii="Arial" w:hAnsi="Arial"/>
          <w:sz w:val="19"/>
          <w:szCs w:val="19"/>
        </w:rPr>
        <w:t>significant subsidiary</w:t>
      </w:r>
      <w:r>
        <w:rPr>
          <w:rFonts w:ascii="Arial" w:hAnsi="Arial"/>
          <w:sz w:val="19"/>
          <w:szCs w:val="19"/>
        </w:rPr>
        <w:t xml:space="preserve"> and </w:t>
      </w:r>
      <w:r w:rsidRPr="00BF2A9B">
        <w:rPr>
          <w:rFonts w:ascii="Arial" w:hAnsi="Arial"/>
          <w:sz w:val="19"/>
          <w:szCs w:val="19"/>
        </w:rPr>
        <w:t xml:space="preserve">registered and operating in Bangladesh, which included in the consolidated financial statements for the year ended 31 December 2023 present total assets as at 31 December 2023 of Baht </w:t>
      </w:r>
      <w:r>
        <w:rPr>
          <w:rFonts w:ascii="Arial" w:hAnsi="Arial"/>
          <w:sz w:val="19"/>
          <w:szCs w:val="19"/>
        </w:rPr>
        <w:t>2,608.50</w:t>
      </w:r>
      <w:r w:rsidRPr="00BF2A9B">
        <w:rPr>
          <w:rFonts w:ascii="Arial" w:hAnsi="Arial"/>
          <w:sz w:val="19"/>
          <w:szCs w:val="19"/>
        </w:rPr>
        <w:t xml:space="preserve"> million, and </w:t>
      </w:r>
      <w:r>
        <w:rPr>
          <w:rFonts w:ascii="Arial" w:hAnsi="Arial"/>
          <w:sz w:val="19"/>
          <w:szCs w:val="19"/>
        </w:rPr>
        <w:t xml:space="preserve">total </w:t>
      </w:r>
      <w:r w:rsidRPr="00BF2A9B">
        <w:rPr>
          <w:rFonts w:ascii="Arial" w:hAnsi="Arial"/>
          <w:sz w:val="19"/>
          <w:szCs w:val="19"/>
        </w:rPr>
        <w:t xml:space="preserve">revenue and </w:t>
      </w:r>
      <w:r w:rsidR="00BC1772">
        <w:rPr>
          <w:rFonts w:ascii="Arial" w:hAnsi="Arial"/>
          <w:sz w:val="19"/>
          <w:szCs w:val="19"/>
        </w:rPr>
        <w:t>profit</w:t>
      </w:r>
      <w:r>
        <w:rPr>
          <w:rFonts w:ascii="Arial" w:hAnsi="Arial"/>
          <w:sz w:val="19"/>
          <w:szCs w:val="19"/>
        </w:rPr>
        <w:t xml:space="preserve"> </w:t>
      </w:r>
      <w:r w:rsidRPr="00BF2A9B">
        <w:rPr>
          <w:rFonts w:ascii="Arial" w:hAnsi="Arial"/>
          <w:sz w:val="19"/>
          <w:szCs w:val="19"/>
        </w:rPr>
        <w:t xml:space="preserve">for the year ended </w:t>
      </w:r>
      <w:r>
        <w:rPr>
          <w:rFonts w:ascii="Arial" w:hAnsi="Arial"/>
          <w:sz w:val="19"/>
          <w:szCs w:val="19"/>
        </w:rPr>
        <w:br/>
      </w:r>
      <w:r w:rsidRPr="006E6640">
        <w:rPr>
          <w:rFonts w:ascii="Arial" w:hAnsi="Arial"/>
          <w:spacing w:val="-6"/>
          <w:sz w:val="19"/>
          <w:szCs w:val="19"/>
        </w:rPr>
        <w:t>31 December 2023 of Baht 2,3</w:t>
      </w:r>
      <w:r w:rsidR="00BC1772">
        <w:rPr>
          <w:rFonts w:ascii="Arial" w:hAnsi="Arial"/>
          <w:spacing w:val="-6"/>
          <w:sz w:val="19"/>
          <w:szCs w:val="19"/>
        </w:rPr>
        <w:t>3</w:t>
      </w:r>
      <w:r>
        <w:rPr>
          <w:rFonts w:ascii="Arial" w:hAnsi="Arial"/>
          <w:spacing w:val="-6"/>
          <w:sz w:val="19"/>
          <w:szCs w:val="19"/>
        </w:rPr>
        <w:t>5.51</w:t>
      </w:r>
      <w:r w:rsidRPr="006E6640">
        <w:rPr>
          <w:rFonts w:ascii="Arial" w:hAnsi="Arial"/>
          <w:spacing w:val="-6"/>
          <w:sz w:val="19"/>
          <w:szCs w:val="19"/>
        </w:rPr>
        <w:t xml:space="preserve"> million and Baht </w:t>
      </w:r>
      <w:r w:rsidR="00BC1772">
        <w:rPr>
          <w:rFonts w:ascii="Arial" w:hAnsi="Arial"/>
          <w:spacing w:val="-6"/>
          <w:sz w:val="19"/>
          <w:szCs w:val="19"/>
        </w:rPr>
        <w:t>185.56</w:t>
      </w:r>
      <w:r w:rsidRPr="006E6640">
        <w:rPr>
          <w:rFonts w:ascii="Arial" w:hAnsi="Arial"/>
          <w:spacing w:val="-6"/>
          <w:sz w:val="19"/>
          <w:szCs w:val="19"/>
        </w:rPr>
        <w:t xml:space="preserve"> million, respectively. The component</w:t>
      </w:r>
      <w:r w:rsidRPr="00BF2A9B">
        <w:rPr>
          <w:rFonts w:ascii="Arial" w:hAnsi="Arial"/>
          <w:sz w:val="19"/>
          <w:szCs w:val="19"/>
        </w:rPr>
        <w:t xml:space="preserve"> </w:t>
      </w:r>
      <w:r w:rsidRPr="006E6640">
        <w:rPr>
          <w:rFonts w:ascii="Arial" w:hAnsi="Arial"/>
          <w:spacing w:val="-4"/>
          <w:sz w:val="19"/>
          <w:szCs w:val="19"/>
        </w:rPr>
        <w:t>auditor expresses a qualified opinion on the financial statements for</w:t>
      </w:r>
      <w:r w:rsidRPr="006E6640">
        <w:rPr>
          <w:rFonts w:cstheme="minorHAnsi"/>
          <w:spacing w:val="-4"/>
          <w:sz w:val="19"/>
          <w:szCs w:val="19"/>
          <w:lang w:bidi="th-TH"/>
        </w:rPr>
        <w:t xml:space="preserve"> the year ended 31 December</w:t>
      </w:r>
      <w:r w:rsidRPr="00BF2A9B">
        <w:rPr>
          <w:rFonts w:cstheme="minorHAnsi"/>
          <w:sz w:val="19"/>
          <w:szCs w:val="19"/>
          <w:lang w:bidi="th-TH"/>
        </w:rPr>
        <w:t xml:space="preserve"> 2023, on </w:t>
      </w:r>
      <w:r>
        <w:rPr>
          <w:rFonts w:cstheme="minorHAnsi"/>
          <w:sz w:val="19"/>
          <w:szCs w:val="19"/>
          <w:lang w:bidi="th-TH"/>
        </w:rPr>
        <w:t>22</w:t>
      </w:r>
      <w:r w:rsidRPr="00BF2A9B">
        <w:rPr>
          <w:rFonts w:cstheme="minorHAnsi"/>
          <w:sz w:val="19"/>
          <w:szCs w:val="19"/>
          <w:lang w:bidi="th-TH"/>
        </w:rPr>
        <w:t xml:space="preserve"> February 202</w:t>
      </w:r>
      <w:r>
        <w:rPr>
          <w:rFonts w:cstheme="minorHAnsi"/>
          <w:sz w:val="19"/>
          <w:szCs w:val="19"/>
          <w:lang w:bidi="th-TH"/>
        </w:rPr>
        <w:t>4</w:t>
      </w:r>
      <w:r w:rsidRPr="00BF2A9B">
        <w:rPr>
          <w:rFonts w:cstheme="minorHAnsi"/>
          <w:sz w:val="19"/>
          <w:szCs w:val="19"/>
          <w:lang w:bidi="th-TH"/>
        </w:rPr>
        <w:t>, regarding non-compliance with the laws of Bangladesh.</w:t>
      </w:r>
    </w:p>
    <w:p w14:paraId="73B90AAB" w14:textId="77777777" w:rsidR="007B5483" w:rsidRDefault="007B5483" w:rsidP="007A4926">
      <w:pPr>
        <w:spacing w:after="0" w:line="360" w:lineRule="auto"/>
        <w:ind w:left="720"/>
        <w:jc w:val="thaiDistribute"/>
        <w:rPr>
          <w:rFonts w:cstheme="minorHAnsi"/>
          <w:sz w:val="19"/>
          <w:szCs w:val="19"/>
          <w:lang w:bidi="th-TH"/>
        </w:rPr>
      </w:pPr>
    </w:p>
    <w:p w14:paraId="0ECD414C" w14:textId="1323A8B4" w:rsidR="007B5483" w:rsidRDefault="007B5483" w:rsidP="00B73C76">
      <w:pPr>
        <w:pStyle w:val="BodyText"/>
        <w:spacing w:after="0" w:line="360" w:lineRule="auto"/>
        <w:rPr>
          <w:rFonts w:ascii="Arial" w:hAnsi="Arial"/>
          <w:i/>
          <w:iCs/>
          <w:sz w:val="19"/>
          <w:szCs w:val="19"/>
        </w:rPr>
      </w:pPr>
      <w:r>
        <w:rPr>
          <w:rFonts w:ascii="Arial" w:hAnsi="Arial"/>
          <w:i/>
          <w:iCs/>
          <w:sz w:val="19"/>
          <w:szCs w:val="19"/>
        </w:rPr>
        <w:t>Emphasis of Matter</w:t>
      </w:r>
    </w:p>
    <w:p w14:paraId="10D85B49" w14:textId="77777777" w:rsidR="007B5483" w:rsidRDefault="007B5483" w:rsidP="00B73C76">
      <w:pPr>
        <w:pStyle w:val="BodyText"/>
        <w:spacing w:after="0" w:line="360" w:lineRule="auto"/>
        <w:rPr>
          <w:rFonts w:ascii="Arial" w:hAnsi="Arial"/>
          <w:i/>
          <w:iCs/>
          <w:sz w:val="19"/>
          <w:szCs w:val="19"/>
        </w:rPr>
      </w:pPr>
    </w:p>
    <w:p w14:paraId="503A6499" w14:textId="3F6F4E21" w:rsidR="007B5483" w:rsidRDefault="007B5483" w:rsidP="007B5483">
      <w:pPr>
        <w:pStyle w:val="BodyText"/>
        <w:spacing w:after="0" w:line="360" w:lineRule="auto"/>
        <w:jc w:val="both"/>
        <w:rPr>
          <w:rFonts w:ascii="Arial" w:hAnsi="Arial"/>
          <w:sz w:val="19"/>
          <w:szCs w:val="19"/>
        </w:rPr>
      </w:pPr>
      <w:r>
        <w:rPr>
          <w:rFonts w:ascii="Arial" w:hAnsi="Arial"/>
          <w:sz w:val="19"/>
          <w:szCs w:val="19"/>
        </w:rPr>
        <w:t>I draw attention to the following information</w:t>
      </w:r>
    </w:p>
    <w:p w14:paraId="41131B73" w14:textId="77777777" w:rsidR="007B5483" w:rsidRDefault="007B5483" w:rsidP="007B5483">
      <w:pPr>
        <w:pStyle w:val="BodyText"/>
        <w:spacing w:after="0" w:line="360" w:lineRule="auto"/>
        <w:jc w:val="both"/>
        <w:rPr>
          <w:rFonts w:ascii="Arial" w:hAnsi="Arial"/>
          <w:sz w:val="19"/>
          <w:szCs w:val="19"/>
        </w:rPr>
      </w:pPr>
    </w:p>
    <w:p w14:paraId="4675A580" w14:textId="4A685E88" w:rsidR="00D36D93" w:rsidRPr="002B716F" w:rsidRDefault="00D36D93" w:rsidP="00D36D93">
      <w:pPr>
        <w:pStyle w:val="ListParagraph"/>
        <w:numPr>
          <w:ilvl w:val="0"/>
          <w:numId w:val="43"/>
        </w:numPr>
        <w:spacing w:after="0" w:line="360" w:lineRule="auto"/>
        <w:jc w:val="both"/>
        <w:rPr>
          <w:rFonts w:cstheme="minorHAnsi"/>
          <w:sz w:val="19"/>
          <w:szCs w:val="19"/>
          <w:lang w:bidi="th-TH"/>
        </w:rPr>
      </w:pPr>
      <w:r w:rsidRPr="00D36D93">
        <w:rPr>
          <w:rFonts w:ascii="Arial" w:hAnsi="Arial"/>
          <w:sz w:val="19"/>
          <w:szCs w:val="19"/>
        </w:rPr>
        <w:t xml:space="preserve">As discussed in Notes 16.2, 25 </w:t>
      </w:r>
      <w:r w:rsidRPr="00D36D93">
        <w:rPr>
          <w:rFonts w:ascii="Arial" w:hAnsi="Arial" w:cs="Angsana New"/>
          <w:sz w:val="19"/>
          <w:szCs w:val="19"/>
          <w:lang w:bidi="th-TH"/>
        </w:rPr>
        <w:t>and</w:t>
      </w:r>
      <w:r w:rsidRPr="00D36D93">
        <w:rPr>
          <w:rFonts w:ascii="Arial" w:hAnsi="Arial" w:cs="Angsana New"/>
          <w:sz w:val="19"/>
          <w:szCs w:val="19"/>
          <w:cs/>
          <w:lang w:bidi="th-TH"/>
        </w:rPr>
        <w:t xml:space="preserve"> </w:t>
      </w:r>
      <w:r w:rsidRPr="00D36D93">
        <w:rPr>
          <w:rFonts w:ascii="Arial" w:hAnsi="Arial"/>
          <w:sz w:val="19"/>
          <w:szCs w:val="19"/>
        </w:rPr>
        <w:t xml:space="preserve">26 to the financial statements, the Group has significant investments in projects with Thailand and overseas Government Agencies which projects are under development stages, whereby the future development to meet the milestone of such projects are dependent upon various circumstance and factors. The investments in the significant projects included in the consolidated and separate financial statements as of </w:t>
      </w:r>
      <w:r w:rsidRPr="00D36D93">
        <w:rPr>
          <w:rFonts w:ascii="Arial" w:hAnsi="Arial"/>
          <w:sz w:val="19"/>
          <w:szCs w:val="19"/>
        </w:rPr>
        <w:br/>
        <w:t>31 December 2023 are as follows</w:t>
      </w:r>
      <w:r w:rsidR="00CF46E0">
        <w:rPr>
          <w:rFonts w:ascii="Arial" w:hAnsi="Arial"/>
          <w:sz w:val="19"/>
          <w:szCs w:val="19"/>
        </w:rPr>
        <w:t xml:space="preserve"> </w:t>
      </w:r>
      <w:r w:rsidRPr="00D36D93">
        <w:rPr>
          <w:rFonts w:ascii="Arial" w:hAnsi="Arial"/>
          <w:sz w:val="19"/>
          <w:szCs w:val="19"/>
        </w:rPr>
        <w:t>:</w:t>
      </w:r>
    </w:p>
    <w:p w14:paraId="5E5049FA" w14:textId="77777777" w:rsidR="002B716F" w:rsidRDefault="002B716F" w:rsidP="009415A8">
      <w:pPr>
        <w:pStyle w:val="ListParagraph"/>
        <w:spacing w:after="0" w:line="360" w:lineRule="auto"/>
        <w:jc w:val="both"/>
        <w:rPr>
          <w:rFonts w:ascii="Arial" w:hAnsi="Arial" w:cstheme="minorBidi"/>
          <w:sz w:val="19"/>
          <w:szCs w:val="24"/>
          <w:lang w:bidi="th-TH"/>
        </w:rPr>
      </w:pPr>
    </w:p>
    <w:p w14:paraId="3967F627" w14:textId="77777777" w:rsidR="009415A8" w:rsidRDefault="009415A8" w:rsidP="009415A8">
      <w:pPr>
        <w:pStyle w:val="ListParagraph"/>
        <w:spacing w:after="0" w:line="360" w:lineRule="auto"/>
        <w:jc w:val="both"/>
        <w:rPr>
          <w:rFonts w:ascii="Arial" w:hAnsi="Arial" w:cstheme="minorBidi"/>
          <w:sz w:val="19"/>
          <w:szCs w:val="24"/>
          <w:lang w:bidi="th-TH"/>
        </w:rPr>
      </w:pPr>
    </w:p>
    <w:p w14:paraId="13DB35E7" w14:textId="77777777" w:rsidR="009415A8" w:rsidRDefault="009415A8" w:rsidP="009415A8">
      <w:pPr>
        <w:pStyle w:val="ListParagraph"/>
        <w:spacing w:after="0" w:line="360" w:lineRule="auto"/>
        <w:jc w:val="both"/>
        <w:rPr>
          <w:rFonts w:ascii="Arial" w:hAnsi="Arial" w:cstheme="minorBidi"/>
          <w:sz w:val="19"/>
          <w:szCs w:val="24"/>
          <w:lang w:bidi="th-TH"/>
        </w:rPr>
      </w:pPr>
    </w:p>
    <w:p w14:paraId="7AD1EFE0" w14:textId="77777777" w:rsidR="009415A8" w:rsidRDefault="009415A8" w:rsidP="009415A8">
      <w:pPr>
        <w:pStyle w:val="ListParagraph"/>
        <w:spacing w:after="0" w:line="360" w:lineRule="auto"/>
        <w:jc w:val="both"/>
        <w:rPr>
          <w:rFonts w:ascii="Arial" w:hAnsi="Arial" w:cstheme="minorBidi"/>
          <w:sz w:val="19"/>
          <w:szCs w:val="24"/>
          <w:lang w:bidi="th-TH"/>
        </w:rPr>
      </w:pPr>
    </w:p>
    <w:p w14:paraId="219C165C" w14:textId="77777777" w:rsidR="009415A8" w:rsidRDefault="009415A8" w:rsidP="009415A8">
      <w:pPr>
        <w:pStyle w:val="ListParagraph"/>
        <w:spacing w:after="0" w:line="360" w:lineRule="auto"/>
        <w:jc w:val="both"/>
        <w:rPr>
          <w:rFonts w:ascii="Arial" w:hAnsi="Arial" w:cstheme="minorBidi"/>
          <w:sz w:val="19"/>
          <w:szCs w:val="24"/>
          <w:lang w:bidi="th-TH"/>
        </w:rPr>
      </w:pPr>
    </w:p>
    <w:p w14:paraId="6F1257EB" w14:textId="77777777" w:rsidR="009415A8" w:rsidRDefault="009415A8" w:rsidP="009415A8">
      <w:pPr>
        <w:pStyle w:val="ListParagraph"/>
        <w:spacing w:after="0" w:line="360" w:lineRule="auto"/>
        <w:jc w:val="both"/>
        <w:rPr>
          <w:rFonts w:ascii="Arial" w:hAnsi="Arial" w:cstheme="minorBidi"/>
          <w:sz w:val="19"/>
          <w:szCs w:val="24"/>
          <w:lang w:bidi="th-TH"/>
        </w:rPr>
      </w:pPr>
    </w:p>
    <w:p w14:paraId="7AF0CC9C" w14:textId="77777777" w:rsidR="009415A8" w:rsidRDefault="009415A8" w:rsidP="009415A8">
      <w:pPr>
        <w:pStyle w:val="ListParagraph"/>
        <w:spacing w:after="0" w:line="360" w:lineRule="auto"/>
        <w:jc w:val="both"/>
        <w:rPr>
          <w:rFonts w:ascii="Arial" w:hAnsi="Arial" w:cstheme="minorBidi"/>
          <w:sz w:val="19"/>
          <w:szCs w:val="24"/>
          <w:lang w:bidi="th-TH"/>
        </w:rPr>
      </w:pPr>
    </w:p>
    <w:p w14:paraId="5E79D8BF" w14:textId="77777777" w:rsidR="009415A8" w:rsidRPr="00D36D93" w:rsidRDefault="009415A8" w:rsidP="009415A8">
      <w:pPr>
        <w:pStyle w:val="ListParagraph"/>
        <w:spacing w:after="0" w:line="360" w:lineRule="auto"/>
        <w:jc w:val="both"/>
        <w:rPr>
          <w:rFonts w:cstheme="minorHAnsi" w:hint="cs"/>
          <w:sz w:val="19"/>
          <w:szCs w:val="19"/>
          <w:lang w:bidi="th-TH"/>
        </w:rPr>
      </w:pPr>
    </w:p>
    <w:p w14:paraId="2A5AEBEE" w14:textId="77777777" w:rsidR="00D36D93" w:rsidRPr="00213D1E" w:rsidRDefault="00D36D93" w:rsidP="00D36D93">
      <w:pPr>
        <w:pStyle w:val="ListParagraph"/>
        <w:rPr>
          <w:rFonts w:ascii="Arial" w:hAnsi="Arial"/>
          <w:sz w:val="19"/>
          <w:szCs w:val="19"/>
        </w:rPr>
      </w:pPr>
    </w:p>
    <w:p w14:paraId="0131598F" w14:textId="77777777" w:rsidR="00D36D93" w:rsidRPr="00D36D93" w:rsidRDefault="00D36D93" w:rsidP="00D36D93">
      <w:pPr>
        <w:pStyle w:val="ListParagraph"/>
        <w:numPr>
          <w:ilvl w:val="1"/>
          <w:numId w:val="35"/>
        </w:numPr>
        <w:spacing w:after="0" w:line="360" w:lineRule="auto"/>
        <w:ind w:left="1143"/>
        <w:jc w:val="thaiDistribute"/>
        <w:rPr>
          <w:rFonts w:cstheme="minorHAnsi"/>
          <w:sz w:val="19"/>
          <w:szCs w:val="19"/>
          <w:lang w:bidi="th-TH"/>
        </w:rPr>
      </w:pPr>
      <w:r w:rsidRPr="00213D1E">
        <w:rPr>
          <w:rFonts w:ascii="Arial" w:hAnsi="Arial"/>
          <w:sz w:val="19"/>
          <w:szCs w:val="19"/>
        </w:rPr>
        <w:lastRenderedPageBreak/>
        <w:t>As discussed in Note 16.2 to the</w:t>
      </w:r>
      <w:r>
        <w:rPr>
          <w:rFonts w:ascii="Arial" w:hAnsi="Arial"/>
          <w:sz w:val="19"/>
          <w:szCs w:val="19"/>
        </w:rPr>
        <w:t xml:space="preserve"> </w:t>
      </w:r>
      <w:r w:rsidRPr="00213D1E">
        <w:rPr>
          <w:rFonts w:ascii="Arial" w:hAnsi="Arial"/>
          <w:sz w:val="19"/>
          <w:szCs w:val="19"/>
        </w:rPr>
        <w:t>financial statements, the Company has investment in bauxite mining, and the construction of Alumina Production Plant Project. Such investment was made through an associated company which was established in Lao People’s Democratic Republic. The Company has investment in an associated company which is for investing in such project including trade account receivable, retention receivable and loan to associated company totalling of Baht 1,2</w:t>
      </w:r>
      <w:r>
        <w:rPr>
          <w:rFonts w:ascii="Arial" w:hAnsi="Arial"/>
          <w:sz w:val="19"/>
          <w:szCs w:val="19"/>
        </w:rPr>
        <w:t>16.85</w:t>
      </w:r>
      <w:r w:rsidRPr="00213D1E">
        <w:rPr>
          <w:rFonts w:ascii="Arial" w:hAnsi="Arial"/>
          <w:sz w:val="19"/>
          <w:szCs w:val="19"/>
        </w:rPr>
        <w:t xml:space="preserve"> million. This associated company has obtained the concession right for bauxite mining from the Government of Lao People’s Democratic Republic and has received the approval for the ESIA Certificate from the Ministry of Natural Resources and Environment.</w:t>
      </w:r>
    </w:p>
    <w:p w14:paraId="4AE5FBE7" w14:textId="77777777" w:rsidR="00D36D93" w:rsidRPr="00D36D93" w:rsidRDefault="00D36D93" w:rsidP="00D36D93">
      <w:pPr>
        <w:pStyle w:val="ListParagraph"/>
        <w:spacing w:after="0" w:line="360" w:lineRule="auto"/>
        <w:ind w:left="1143"/>
        <w:jc w:val="thaiDistribute"/>
        <w:rPr>
          <w:rFonts w:cstheme="minorHAnsi"/>
          <w:sz w:val="19"/>
          <w:szCs w:val="19"/>
          <w:lang w:bidi="th-TH"/>
        </w:rPr>
      </w:pPr>
    </w:p>
    <w:p w14:paraId="0518FE28" w14:textId="5D456950" w:rsidR="00D36D93" w:rsidRPr="00D36D93" w:rsidRDefault="00D36D93" w:rsidP="00D36D93">
      <w:pPr>
        <w:pStyle w:val="ListParagraph"/>
        <w:numPr>
          <w:ilvl w:val="1"/>
          <w:numId w:val="35"/>
        </w:numPr>
        <w:spacing w:after="0" w:line="360" w:lineRule="auto"/>
        <w:ind w:left="1143"/>
        <w:jc w:val="thaiDistribute"/>
        <w:rPr>
          <w:rFonts w:cstheme="minorHAnsi"/>
          <w:sz w:val="19"/>
          <w:szCs w:val="19"/>
          <w:lang w:bidi="th-TH"/>
        </w:rPr>
      </w:pPr>
      <w:r w:rsidRPr="00D36D93">
        <w:rPr>
          <w:rFonts w:ascii="Arial" w:hAnsi="Arial"/>
          <w:sz w:val="19"/>
          <w:szCs w:val="19"/>
        </w:rPr>
        <w:t xml:space="preserve">As discussed in Note 25 to the financial statements, the subsidiary had submitted to request for the concession right for potash mining in 2004 and has obtained such </w:t>
      </w:r>
      <w:r w:rsidRPr="00D36D93">
        <w:rPr>
          <w:rFonts w:ascii="Arial" w:hAnsi="Arial"/>
          <w:spacing w:val="-4"/>
          <w:sz w:val="19"/>
          <w:szCs w:val="19"/>
        </w:rPr>
        <w:t>concession right on 23 September 2022. To operate the mining business, the subsidiary</w:t>
      </w:r>
      <w:r w:rsidRPr="00D36D93">
        <w:rPr>
          <w:rFonts w:ascii="Arial" w:hAnsi="Arial"/>
          <w:sz w:val="19"/>
          <w:szCs w:val="19"/>
        </w:rPr>
        <w:t xml:space="preserve"> must comply with the conditions relating to issuing the concession right and other relevant law and requires. To comply with those conditions, it requires significant financing. The subsidiary company has costs of potash mining right of Baht 2,293.49 million and deferred exploration </w:t>
      </w:r>
      <w:r w:rsidRPr="00D36D93">
        <w:rPr>
          <w:rFonts w:ascii="Arial" w:hAnsi="Arial"/>
          <w:spacing w:val="-2"/>
          <w:sz w:val="19"/>
          <w:szCs w:val="19"/>
        </w:rPr>
        <w:t>and development cost totalling Baht 2,988.35 million. The Company’s management assessed</w:t>
      </w:r>
      <w:r w:rsidRPr="00D36D93">
        <w:rPr>
          <w:rFonts w:ascii="Arial" w:hAnsi="Arial"/>
          <w:sz w:val="19"/>
          <w:szCs w:val="19"/>
        </w:rPr>
        <w:t xml:space="preserve"> that the subsidiary is able to comply with the specified conditions, to operate mining business as planned and has no indication for impairment of such investment.    </w:t>
      </w:r>
    </w:p>
    <w:p w14:paraId="2ADB086B" w14:textId="77777777" w:rsidR="00D36D93" w:rsidRDefault="00D36D93" w:rsidP="00D36D93">
      <w:pPr>
        <w:pStyle w:val="ListParagraph"/>
        <w:rPr>
          <w:rFonts w:ascii="Arial" w:hAnsi="Arial" w:cstheme="minorBidi"/>
          <w:sz w:val="19"/>
          <w:szCs w:val="24"/>
          <w:lang w:bidi="th-TH"/>
        </w:rPr>
      </w:pPr>
    </w:p>
    <w:p w14:paraId="0E955681" w14:textId="3237CB81" w:rsidR="00D36D93" w:rsidRPr="00D36D93" w:rsidRDefault="00D36D93" w:rsidP="00D36D93">
      <w:pPr>
        <w:pStyle w:val="ListParagraph"/>
        <w:numPr>
          <w:ilvl w:val="0"/>
          <w:numId w:val="43"/>
        </w:numPr>
        <w:spacing w:after="0" w:line="360" w:lineRule="auto"/>
        <w:jc w:val="thaiDistribute"/>
        <w:rPr>
          <w:rFonts w:cstheme="minorHAnsi"/>
          <w:sz w:val="19"/>
          <w:szCs w:val="19"/>
          <w:lang w:bidi="th-TH"/>
        </w:rPr>
      </w:pPr>
      <w:r w:rsidRPr="00D36D93">
        <w:rPr>
          <w:rFonts w:ascii="Arial" w:hAnsi="Arial"/>
          <w:sz w:val="19"/>
          <w:szCs w:val="19"/>
        </w:rPr>
        <w:t xml:space="preserve">As discussed in Note 26 to the financial statements, the consolidated and separate financial statements included deferred concession costs and costs of project under development in the Republic of Mozambique of Baht 2,688.94 million and Baht 2,283.47 </w:t>
      </w:r>
      <w:r w:rsidRPr="00D36D93">
        <w:rPr>
          <w:rFonts w:ascii="Arial" w:hAnsi="Arial"/>
          <w:spacing w:val="-4"/>
          <w:sz w:val="19"/>
          <w:szCs w:val="19"/>
        </w:rPr>
        <w:t>million, respectively. Such amounts represent costs for the concession right and development</w:t>
      </w:r>
      <w:r w:rsidRPr="00D36D93">
        <w:rPr>
          <w:rFonts w:ascii="Arial" w:hAnsi="Arial"/>
          <w:sz w:val="19"/>
          <w:szCs w:val="19"/>
        </w:rPr>
        <w:t xml:space="preserve"> costs for construction of a Heavy Haul Railway Lines and construction of a Deep-Sea Port. The Company has invested in such project through an overseas subsidiary which was granted the concession right from the Government of the Republic of Mozambique and established another overseas subsidiary to provide construction services for such project. The Company has investment and long-term loan to such group subsidiaries for the project development totalling Baht 58.16 million and Baht 256.29 million, respectively. The progress of such project under development is dependent on finding the strategic partner in the future which interested partners are currently studying the feasibility of the project for their investing as well as the approval for the project finance from the financial institution since the subsidiary requires significant amount of investment for the development of such project.</w:t>
      </w:r>
    </w:p>
    <w:p w14:paraId="17FBA0A9" w14:textId="77777777" w:rsidR="007B5483" w:rsidRDefault="007B5483" w:rsidP="00B73C76">
      <w:pPr>
        <w:pStyle w:val="BodyText"/>
        <w:spacing w:after="0" w:line="360" w:lineRule="auto"/>
        <w:rPr>
          <w:rFonts w:ascii="Arial" w:hAnsi="Arial" w:cstheme="minorBidi"/>
          <w:i/>
          <w:iCs/>
          <w:szCs w:val="22"/>
          <w:lang w:bidi="th-TH"/>
        </w:rPr>
      </w:pPr>
    </w:p>
    <w:p w14:paraId="6B8143C5" w14:textId="77777777" w:rsidR="009415A8" w:rsidRDefault="009415A8" w:rsidP="00B73C76">
      <w:pPr>
        <w:pStyle w:val="BodyText"/>
        <w:spacing w:after="0" w:line="360" w:lineRule="auto"/>
        <w:rPr>
          <w:rFonts w:ascii="Arial" w:hAnsi="Arial" w:cstheme="minorBidi"/>
          <w:i/>
          <w:iCs/>
          <w:szCs w:val="22"/>
          <w:lang w:bidi="th-TH"/>
        </w:rPr>
      </w:pPr>
    </w:p>
    <w:p w14:paraId="192D72E8" w14:textId="77777777" w:rsidR="009415A8" w:rsidRDefault="009415A8" w:rsidP="00B73C76">
      <w:pPr>
        <w:pStyle w:val="BodyText"/>
        <w:spacing w:after="0" w:line="360" w:lineRule="auto"/>
        <w:rPr>
          <w:rFonts w:ascii="Arial" w:hAnsi="Arial" w:cstheme="minorBidi"/>
          <w:i/>
          <w:iCs/>
          <w:szCs w:val="22"/>
          <w:lang w:bidi="th-TH"/>
        </w:rPr>
      </w:pPr>
    </w:p>
    <w:p w14:paraId="6AF292B8" w14:textId="77777777" w:rsidR="009415A8" w:rsidRDefault="009415A8" w:rsidP="00B73C76">
      <w:pPr>
        <w:pStyle w:val="BodyText"/>
        <w:spacing w:after="0" w:line="360" w:lineRule="auto"/>
        <w:rPr>
          <w:rFonts w:ascii="Arial" w:hAnsi="Arial" w:cstheme="minorBidi"/>
          <w:i/>
          <w:iCs/>
          <w:szCs w:val="22"/>
          <w:lang w:bidi="th-TH"/>
        </w:rPr>
      </w:pPr>
    </w:p>
    <w:p w14:paraId="778F8D20" w14:textId="77777777" w:rsidR="009415A8" w:rsidRDefault="009415A8" w:rsidP="00B73C76">
      <w:pPr>
        <w:pStyle w:val="BodyText"/>
        <w:spacing w:after="0" w:line="360" w:lineRule="auto"/>
        <w:rPr>
          <w:rFonts w:ascii="Arial" w:hAnsi="Arial" w:cstheme="minorBidi"/>
          <w:i/>
          <w:iCs/>
          <w:szCs w:val="22"/>
          <w:lang w:bidi="th-TH"/>
        </w:rPr>
      </w:pPr>
    </w:p>
    <w:p w14:paraId="2129DB0F" w14:textId="77777777" w:rsidR="009415A8" w:rsidRDefault="009415A8" w:rsidP="00B73C76">
      <w:pPr>
        <w:pStyle w:val="BodyText"/>
        <w:spacing w:after="0" w:line="360" w:lineRule="auto"/>
        <w:rPr>
          <w:rFonts w:ascii="Arial" w:hAnsi="Arial" w:cstheme="minorBidi"/>
          <w:i/>
          <w:iCs/>
          <w:szCs w:val="22"/>
          <w:lang w:bidi="th-TH"/>
        </w:rPr>
      </w:pPr>
    </w:p>
    <w:p w14:paraId="71014B22" w14:textId="77777777" w:rsidR="009415A8" w:rsidRDefault="009415A8" w:rsidP="00B73C76">
      <w:pPr>
        <w:pStyle w:val="BodyText"/>
        <w:spacing w:after="0" w:line="360" w:lineRule="auto"/>
        <w:rPr>
          <w:rFonts w:ascii="Arial" w:hAnsi="Arial" w:cstheme="minorBidi"/>
          <w:i/>
          <w:iCs/>
          <w:szCs w:val="22"/>
          <w:lang w:bidi="th-TH"/>
        </w:rPr>
      </w:pPr>
    </w:p>
    <w:p w14:paraId="41B94A94" w14:textId="77777777" w:rsidR="009415A8" w:rsidRPr="009415A8" w:rsidRDefault="009415A8" w:rsidP="00B73C76">
      <w:pPr>
        <w:pStyle w:val="BodyText"/>
        <w:spacing w:after="0" w:line="360" w:lineRule="auto"/>
        <w:rPr>
          <w:rFonts w:ascii="Arial" w:hAnsi="Arial" w:cstheme="minorBidi" w:hint="cs"/>
          <w:i/>
          <w:iCs/>
          <w:szCs w:val="22"/>
          <w:lang w:bidi="th-TH"/>
        </w:rPr>
      </w:pPr>
    </w:p>
    <w:p w14:paraId="4C2AB011" w14:textId="168C1B2F" w:rsidR="00B73C76" w:rsidRPr="0004197E" w:rsidRDefault="00B73C76" w:rsidP="00B73C76">
      <w:pPr>
        <w:pStyle w:val="BodyText"/>
        <w:spacing w:after="0" w:line="360" w:lineRule="auto"/>
        <w:rPr>
          <w:rFonts w:ascii="Arial" w:hAnsi="Arial"/>
          <w:i/>
          <w:iCs/>
          <w:sz w:val="19"/>
          <w:szCs w:val="19"/>
        </w:rPr>
      </w:pPr>
      <w:r w:rsidRPr="0004197E">
        <w:rPr>
          <w:rFonts w:ascii="Arial" w:hAnsi="Arial"/>
          <w:i/>
          <w:iCs/>
          <w:sz w:val="19"/>
          <w:szCs w:val="19"/>
        </w:rPr>
        <w:lastRenderedPageBreak/>
        <w:t>Other Matter</w:t>
      </w:r>
    </w:p>
    <w:p w14:paraId="1CB16634" w14:textId="77777777" w:rsidR="00B73C76" w:rsidRPr="00D36D93" w:rsidRDefault="00B73C76" w:rsidP="00B73C76">
      <w:pPr>
        <w:pStyle w:val="BodyText"/>
        <w:spacing w:after="0" w:line="360" w:lineRule="auto"/>
        <w:rPr>
          <w:rFonts w:ascii="Arial" w:hAnsi="Arial"/>
          <w:b/>
          <w:bCs/>
          <w:szCs w:val="18"/>
        </w:rPr>
      </w:pPr>
    </w:p>
    <w:p w14:paraId="5CAA8D30" w14:textId="1B8BA3E0" w:rsidR="00B73C76" w:rsidRDefault="00B73C76" w:rsidP="00B73C76">
      <w:pPr>
        <w:pStyle w:val="BodyText"/>
        <w:spacing w:after="0" w:line="360" w:lineRule="auto"/>
        <w:jc w:val="both"/>
        <w:rPr>
          <w:rFonts w:ascii="Arial" w:hAnsi="Arial"/>
          <w:sz w:val="19"/>
          <w:szCs w:val="19"/>
        </w:rPr>
      </w:pPr>
      <w:r>
        <w:rPr>
          <w:rFonts w:ascii="Arial" w:hAnsi="Arial"/>
          <w:sz w:val="19"/>
          <w:szCs w:val="19"/>
        </w:rPr>
        <w:t xml:space="preserve">The consolidated and separate </w:t>
      </w:r>
      <w:r w:rsidR="00D31889">
        <w:rPr>
          <w:rFonts w:ascii="Arial" w:hAnsi="Arial"/>
          <w:sz w:val="19"/>
          <w:szCs w:val="19"/>
        </w:rPr>
        <w:t xml:space="preserve">financial </w:t>
      </w:r>
      <w:r>
        <w:rPr>
          <w:rFonts w:ascii="Arial" w:hAnsi="Arial"/>
          <w:sz w:val="19"/>
          <w:szCs w:val="19"/>
        </w:rPr>
        <w:t xml:space="preserve">statements of financial position of Italian-Thai Development Public Company Limited and its subsidiaries as at 31 December 2022, </w:t>
      </w:r>
      <w:r>
        <w:rPr>
          <w:rFonts w:ascii="Arial" w:hAnsi="Arial"/>
          <w:sz w:val="19"/>
          <w:szCs w:val="24"/>
          <w:lang w:bidi="th-TH"/>
        </w:rPr>
        <w:t>presented as comparative information</w:t>
      </w:r>
      <w:r>
        <w:rPr>
          <w:rFonts w:ascii="Arial" w:hAnsi="Arial"/>
          <w:sz w:val="19"/>
          <w:szCs w:val="24"/>
          <w:lang w:val="en-US" w:bidi="th-TH"/>
        </w:rPr>
        <w:t>,</w:t>
      </w:r>
      <w:r>
        <w:rPr>
          <w:rFonts w:ascii="Arial" w:hAnsi="Arial"/>
          <w:sz w:val="19"/>
          <w:szCs w:val="19"/>
        </w:rPr>
        <w:t xml:space="preserve"> were audited by another auditor who used to be in the same firm as mine who</w:t>
      </w:r>
      <w:r>
        <w:rPr>
          <w:rFonts w:ascii="Arial" w:hAnsi="Arial"/>
          <w:sz w:val="19"/>
          <w:szCs w:val="24"/>
          <w:lang w:bidi="th-TH"/>
        </w:rPr>
        <w:t xml:space="preserve"> </w:t>
      </w:r>
      <w:r>
        <w:rPr>
          <w:rFonts w:ascii="Arial" w:hAnsi="Arial"/>
          <w:sz w:val="19"/>
          <w:szCs w:val="24"/>
          <w:lang w:val="en-US" w:bidi="th-TH"/>
        </w:rPr>
        <w:t xml:space="preserve">issued the audit report dated 28 February 2023 </w:t>
      </w:r>
      <w:r>
        <w:rPr>
          <w:rFonts w:ascii="Arial" w:hAnsi="Arial"/>
          <w:sz w:val="19"/>
          <w:szCs w:val="19"/>
        </w:rPr>
        <w:t>expressed a qualified opinion thereon in respect of the potential impact (if any) for the balance of transactions which cannot be concluded regarding to</w:t>
      </w:r>
    </w:p>
    <w:p w14:paraId="15F76267" w14:textId="77777777" w:rsidR="00B73C76" w:rsidRDefault="00B73C76" w:rsidP="00B73C76">
      <w:pPr>
        <w:pStyle w:val="BodyText"/>
        <w:spacing w:after="0" w:line="360" w:lineRule="auto"/>
        <w:jc w:val="both"/>
        <w:rPr>
          <w:rFonts w:ascii="Arial" w:hAnsi="Arial"/>
          <w:sz w:val="16"/>
          <w:szCs w:val="16"/>
        </w:rPr>
      </w:pPr>
    </w:p>
    <w:p w14:paraId="4E86B57A" w14:textId="77777777" w:rsidR="00B73C76" w:rsidRDefault="00B73C76" w:rsidP="00B73C76">
      <w:pPr>
        <w:pStyle w:val="BodyText"/>
        <w:numPr>
          <w:ilvl w:val="0"/>
          <w:numId w:val="39"/>
        </w:numPr>
        <w:shd w:val="clear" w:color="auto" w:fill="FFFFFF" w:themeFill="background1"/>
        <w:spacing w:after="0" w:line="360" w:lineRule="auto"/>
        <w:ind w:left="426" w:hanging="426"/>
        <w:jc w:val="both"/>
        <w:rPr>
          <w:rFonts w:ascii="Arial" w:hAnsi="Arial"/>
          <w:sz w:val="19"/>
          <w:szCs w:val="19"/>
        </w:rPr>
      </w:pPr>
      <w:r>
        <w:rPr>
          <w:rFonts w:ascii="Arial" w:hAnsi="Arial"/>
          <w:sz w:val="19"/>
          <w:szCs w:val="19"/>
        </w:rPr>
        <w:t xml:space="preserve">the recoverable amount of the development costs for concession right </w:t>
      </w:r>
      <w:r>
        <w:rPr>
          <w:rFonts w:ascii="Arial" w:hAnsi="Arial"/>
          <w:sz w:val="19"/>
          <w:szCs w:val="24"/>
          <w:lang w:val="en-US" w:bidi="th-TH"/>
        </w:rPr>
        <w:t xml:space="preserve">- </w:t>
      </w:r>
      <w:r>
        <w:rPr>
          <w:rFonts w:ascii="Arial" w:hAnsi="Arial"/>
          <w:sz w:val="19"/>
          <w:szCs w:val="19"/>
        </w:rPr>
        <w:t>Dawei Project,</w:t>
      </w:r>
    </w:p>
    <w:p w14:paraId="20ECDBAB" w14:textId="77777777" w:rsidR="00B73C76" w:rsidRDefault="00B73C76" w:rsidP="00B73C76">
      <w:pPr>
        <w:pStyle w:val="BodyText"/>
        <w:numPr>
          <w:ilvl w:val="0"/>
          <w:numId w:val="39"/>
        </w:numPr>
        <w:shd w:val="clear" w:color="auto" w:fill="FFFFFF" w:themeFill="background1"/>
        <w:spacing w:after="0" w:line="360" w:lineRule="auto"/>
        <w:ind w:left="426" w:hanging="426"/>
        <w:jc w:val="both"/>
        <w:rPr>
          <w:rFonts w:ascii="Arial" w:hAnsi="Arial"/>
          <w:sz w:val="19"/>
          <w:szCs w:val="19"/>
        </w:rPr>
      </w:pPr>
      <w:r>
        <w:rPr>
          <w:rFonts w:ascii="Arial" w:hAnsi="Arial"/>
          <w:sz w:val="19"/>
          <w:szCs w:val="19"/>
        </w:rPr>
        <w:t>the investment value and relevant accounting transactions for the equity method of the joint venture, and</w:t>
      </w:r>
    </w:p>
    <w:p w14:paraId="39B3FA80" w14:textId="77777777" w:rsidR="00B73C76" w:rsidRDefault="00B73C76" w:rsidP="00B73C76">
      <w:pPr>
        <w:pStyle w:val="BodyText"/>
        <w:numPr>
          <w:ilvl w:val="0"/>
          <w:numId w:val="39"/>
        </w:numPr>
        <w:shd w:val="clear" w:color="auto" w:fill="FFFFFF" w:themeFill="background1"/>
        <w:spacing w:after="0" w:line="360" w:lineRule="auto"/>
        <w:ind w:left="426" w:hanging="426"/>
        <w:jc w:val="both"/>
        <w:rPr>
          <w:rFonts w:ascii="Arial" w:hAnsi="Arial"/>
          <w:sz w:val="19"/>
          <w:szCs w:val="19"/>
        </w:rPr>
      </w:pPr>
      <w:r>
        <w:rPr>
          <w:rFonts w:ascii="Arial" w:hAnsi="Arial"/>
          <w:sz w:val="19"/>
          <w:szCs w:val="19"/>
        </w:rPr>
        <w:t>the recoverable amount of account receivable from a State Enterprise</w:t>
      </w:r>
    </w:p>
    <w:p w14:paraId="6A8A8C5B" w14:textId="77777777" w:rsidR="00D36D93" w:rsidRDefault="00D36D93" w:rsidP="00B73C76">
      <w:pPr>
        <w:pStyle w:val="BodyText"/>
        <w:spacing w:after="0" w:line="360" w:lineRule="auto"/>
        <w:jc w:val="both"/>
        <w:rPr>
          <w:rFonts w:ascii="Arial" w:hAnsi="Arial" w:cstheme="minorBidi"/>
          <w:sz w:val="19"/>
          <w:szCs w:val="24"/>
          <w:lang w:bidi="th-TH"/>
        </w:rPr>
      </w:pPr>
    </w:p>
    <w:p w14:paraId="69415F1F" w14:textId="1617BF59" w:rsidR="00B73C76" w:rsidRDefault="00B73C76" w:rsidP="00B73C76">
      <w:pPr>
        <w:pStyle w:val="BodyText"/>
        <w:spacing w:after="0" w:line="360" w:lineRule="auto"/>
        <w:jc w:val="both"/>
        <w:rPr>
          <w:rFonts w:ascii="Arial" w:hAnsi="Arial"/>
          <w:sz w:val="19"/>
          <w:szCs w:val="19"/>
        </w:rPr>
      </w:pPr>
      <w:r>
        <w:rPr>
          <w:rFonts w:ascii="Arial" w:hAnsi="Arial"/>
          <w:sz w:val="19"/>
          <w:szCs w:val="19"/>
        </w:rPr>
        <w:t>with the emphasis of matters regarding</w:t>
      </w:r>
    </w:p>
    <w:p w14:paraId="0BEB2146" w14:textId="77777777" w:rsidR="00B73C76" w:rsidRPr="00D36D93" w:rsidRDefault="00B73C76" w:rsidP="00B73C76">
      <w:pPr>
        <w:pStyle w:val="BodyText"/>
        <w:spacing w:after="0" w:line="360" w:lineRule="auto"/>
        <w:jc w:val="both"/>
        <w:rPr>
          <w:rFonts w:ascii="Arial" w:hAnsi="Arial"/>
          <w:szCs w:val="18"/>
        </w:rPr>
      </w:pPr>
    </w:p>
    <w:p w14:paraId="5A6435DA" w14:textId="29A57D57" w:rsidR="00631B89" w:rsidRPr="00D36D93" w:rsidRDefault="00B73C76" w:rsidP="00D36D93">
      <w:pPr>
        <w:pStyle w:val="BodyText"/>
        <w:numPr>
          <w:ilvl w:val="0"/>
          <w:numId w:val="40"/>
        </w:numPr>
        <w:spacing w:after="0" w:line="360" w:lineRule="auto"/>
        <w:ind w:left="426" w:hanging="426"/>
        <w:jc w:val="both"/>
        <w:rPr>
          <w:rFonts w:ascii="Arial" w:hAnsi="Arial"/>
          <w:sz w:val="19"/>
          <w:szCs w:val="19"/>
        </w:rPr>
      </w:pPr>
      <w:r>
        <w:rPr>
          <w:rFonts w:ascii="Arial" w:hAnsi="Arial"/>
          <w:sz w:val="19"/>
          <w:szCs w:val="19"/>
        </w:rPr>
        <w:t>the investments in projects under development, whereby the future development to meet the milestone of such projects are dependent upon various circumstances and factors, and</w:t>
      </w:r>
    </w:p>
    <w:p w14:paraId="77B877CD" w14:textId="77777777" w:rsidR="00B73C76" w:rsidRDefault="00B73C76" w:rsidP="00B73C76">
      <w:pPr>
        <w:pStyle w:val="BodyText"/>
        <w:numPr>
          <w:ilvl w:val="0"/>
          <w:numId w:val="40"/>
        </w:numPr>
        <w:spacing w:after="0" w:line="360" w:lineRule="auto"/>
        <w:ind w:left="426" w:hanging="426"/>
        <w:jc w:val="both"/>
        <w:rPr>
          <w:rFonts w:ascii="Arial" w:hAnsi="Arial"/>
          <w:sz w:val="19"/>
          <w:szCs w:val="19"/>
        </w:rPr>
      </w:pPr>
      <w:r>
        <w:rPr>
          <w:rFonts w:ascii="Arial" w:hAnsi="Arial"/>
          <w:sz w:val="19"/>
          <w:szCs w:val="19"/>
        </w:rPr>
        <w:t>the revenues from a construction project with a State Enterprise of an overseas joint venture which is under the process for billing which has not been concluded.</w:t>
      </w:r>
    </w:p>
    <w:bookmarkEnd w:id="1"/>
    <w:p w14:paraId="6A366A9C" w14:textId="77777777" w:rsidR="00DA3551" w:rsidRPr="00D36D93" w:rsidRDefault="00DA3551" w:rsidP="00E20542">
      <w:pPr>
        <w:pStyle w:val="ListParagraph"/>
        <w:spacing w:after="0" w:line="360" w:lineRule="auto"/>
        <w:jc w:val="thaiDistribute"/>
        <w:rPr>
          <w:rFonts w:ascii="Arial" w:hAnsi="Arial"/>
          <w:sz w:val="16"/>
          <w:szCs w:val="16"/>
          <w:lang w:bidi="th-TH"/>
        </w:rPr>
      </w:pPr>
    </w:p>
    <w:p w14:paraId="7B18A7C4" w14:textId="77777777" w:rsidR="00132272" w:rsidRPr="00651B7B" w:rsidRDefault="00132272" w:rsidP="00132272">
      <w:pPr>
        <w:spacing w:after="0" w:line="360" w:lineRule="auto"/>
        <w:jc w:val="thaiDistribute"/>
        <w:rPr>
          <w:rFonts w:ascii="Arial" w:hAnsi="Arial"/>
          <w:i/>
          <w:iCs/>
          <w:sz w:val="19"/>
          <w:szCs w:val="19"/>
          <w:lang w:bidi="th-TH"/>
        </w:rPr>
      </w:pPr>
      <w:r w:rsidRPr="00651B7B">
        <w:rPr>
          <w:rFonts w:ascii="Arial" w:hAnsi="Arial"/>
          <w:i/>
          <w:iCs/>
          <w:sz w:val="19"/>
          <w:szCs w:val="19"/>
          <w:lang w:bidi="th-TH"/>
        </w:rPr>
        <w:t>Responsibilities of Management and Those Charged with Governance for the preparation of the</w:t>
      </w:r>
    </w:p>
    <w:p w14:paraId="047689CF" w14:textId="55512A78" w:rsidR="008C6C1C" w:rsidRPr="00651B7B" w:rsidRDefault="00132272" w:rsidP="00132272">
      <w:pPr>
        <w:spacing w:after="0" w:line="360" w:lineRule="auto"/>
        <w:jc w:val="thaiDistribute"/>
        <w:rPr>
          <w:rFonts w:ascii="Arial" w:hAnsi="Arial"/>
          <w:i/>
          <w:iCs/>
          <w:sz w:val="19"/>
          <w:szCs w:val="19"/>
          <w:lang w:bidi="th-TH"/>
        </w:rPr>
      </w:pPr>
      <w:r w:rsidRPr="00651B7B">
        <w:rPr>
          <w:rFonts w:ascii="Arial" w:hAnsi="Arial"/>
          <w:i/>
          <w:iCs/>
          <w:sz w:val="19"/>
          <w:szCs w:val="19"/>
          <w:lang w:bidi="th-TH"/>
        </w:rPr>
        <w:t>Consolidate</w:t>
      </w:r>
      <w:r w:rsidR="004D3C25">
        <w:rPr>
          <w:rFonts w:ascii="Arial" w:hAnsi="Arial" w:cs="Browallia New"/>
          <w:i/>
          <w:iCs/>
          <w:sz w:val="19"/>
          <w:szCs w:val="24"/>
          <w:lang w:val="en-US" w:bidi="th-TH"/>
        </w:rPr>
        <w:t>d</w:t>
      </w:r>
      <w:r w:rsidRPr="00651B7B">
        <w:rPr>
          <w:rFonts w:ascii="Arial" w:hAnsi="Arial"/>
          <w:i/>
          <w:iCs/>
          <w:sz w:val="19"/>
          <w:szCs w:val="19"/>
          <w:lang w:bidi="th-TH"/>
        </w:rPr>
        <w:t xml:space="preserve"> Financial Statements and Separate Financial Statements</w:t>
      </w:r>
    </w:p>
    <w:p w14:paraId="6AB692A5" w14:textId="77777777" w:rsidR="00132272" w:rsidRPr="00E20542" w:rsidRDefault="00132272" w:rsidP="00132272">
      <w:pPr>
        <w:spacing w:after="0" w:line="360" w:lineRule="auto"/>
        <w:jc w:val="thaiDistribute"/>
        <w:rPr>
          <w:rFonts w:ascii="Arial" w:hAnsi="Arial"/>
          <w:i/>
          <w:iCs/>
          <w:sz w:val="16"/>
          <w:szCs w:val="16"/>
        </w:rPr>
      </w:pPr>
    </w:p>
    <w:p w14:paraId="231096D4" w14:textId="599F5548" w:rsidR="00132272" w:rsidRPr="00651B7B" w:rsidRDefault="00132272" w:rsidP="00132272">
      <w:pPr>
        <w:spacing w:after="0" w:line="360" w:lineRule="auto"/>
        <w:jc w:val="thaiDistribute"/>
        <w:rPr>
          <w:rFonts w:ascii="Arial" w:hAnsi="Arial"/>
          <w:sz w:val="19"/>
          <w:szCs w:val="19"/>
          <w:lang w:bidi="th-TH"/>
        </w:rPr>
      </w:pPr>
      <w:r w:rsidRPr="00651B7B">
        <w:rPr>
          <w:rFonts w:ascii="Arial" w:hAnsi="Arial"/>
          <w:sz w:val="19"/>
          <w:szCs w:val="19"/>
          <w:lang w:bidi="th-TH"/>
        </w:rPr>
        <w:t>Management is responsible for the preparation and fair presentation of the consolidated and separate financial statements in accordance with Thai Financial Reporting Standards, and for such internal control as management determines necessary to enable the preparation of consolidated and</w:t>
      </w:r>
    </w:p>
    <w:p w14:paraId="0E5A7F9E" w14:textId="4E770900" w:rsidR="002A2DF4" w:rsidRPr="00651B7B" w:rsidRDefault="00132272" w:rsidP="00132272">
      <w:pPr>
        <w:spacing w:after="0" w:line="360" w:lineRule="auto"/>
        <w:jc w:val="thaiDistribute"/>
        <w:rPr>
          <w:rFonts w:ascii="Arial" w:hAnsi="Arial"/>
          <w:sz w:val="19"/>
          <w:szCs w:val="19"/>
          <w:lang w:bidi="th-TH"/>
        </w:rPr>
      </w:pPr>
      <w:r w:rsidRPr="00651B7B">
        <w:rPr>
          <w:rFonts w:ascii="Arial" w:hAnsi="Arial"/>
          <w:sz w:val="19"/>
          <w:szCs w:val="19"/>
          <w:lang w:bidi="th-TH"/>
        </w:rPr>
        <w:t>separate financial statements that are free from material misstatement, whether due to fraud or error.</w:t>
      </w:r>
    </w:p>
    <w:p w14:paraId="1C45D1BC" w14:textId="77777777" w:rsidR="00132272" w:rsidRPr="00E20542" w:rsidRDefault="00132272" w:rsidP="00132272">
      <w:pPr>
        <w:spacing w:after="0" w:line="360" w:lineRule="auto"/>
        <w:jc w:val="thaiDistribute"/>
        <w:rPr>
          <w:rFonts w:ascii="Arial" w:hAnsi="Arial"/>
          <w:sz w:val="16"/>
          <w:szCs w:val="16"/>
        </w:rPr>
      </w:pPr>
    </w:p>
    <w:p w14:paraId="06C150B4" w14:textId="1BDBEEA9" w:rsidR="008E74DD" w:rsidRPr="00651B7B" w:rsidRDefault="00132272" w:rsidP="00132272">
      <w:pPr>
        <w:spacing w:after="0" w:line="360" w:lineRule="auto"/>
        <w:jc w:val="thaiDistribute"/>
        <w:rPr>
          <w:rFonts w:ascii="Arial" w:hAnsi="Arial"/>
          <w:sz w:val="19"/>
          <w:szCs w:val="19"/>
          <w:lang w:bidi="th-TH"/>
        </w:rPr>
      </w:pPr>
      <w:r w:rsidRPr="00651B7B">
        <w:rPr>
          <w:rFonts w:ascii="Arial" w:hAnsi="Arial"/>
          <w:sz w:val="19"/>
          <w:szCs w:val="19"/>
          <w:lang w:bidi="th-TH"/>
        </w:rPr>
        <w:t>In preparing the consolidated and separate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w:t>
      </w:r>
    </w:p>
    <w:p w14:paraId="6EEF792F" w14:textId="77777777" w:rsidR="00132272" w:rsidRPr="00D36D93" w:rsidRDefault="00132272" w:rsidP="00132272">
      <w:pPr>
        <w:spacing w:after="0" w:line="360" w:lineRule="auto"/>
        <w:jc w:val="thaiDistribute"/>
        <w:rPr>
          <w:rFonts w:ascii="Arial" w:hAnsi="Arial"/>
          <w:sz w:val="16"/>
          <w:szCs w:val="16"/>
          <w:lang w:bidi="th-TH"/>
        </w:rPr>
      </w:pPr>
    </w:p>
    <w:p w14:paraId="5BA171A9" w14:textId="0F3DAA7D" w:rsidR="00625137" w:rsidRPr="00E20542" w:rsidRDefault="002B2BA2" w:rsidP="002B2BA2">
      <w:pPr>
        <w:spacing w:after="0" w:line="360" w:lineRule="auto"/>
        <w:jc w:val="thaiDistribute"/>
        <w:rPr>
          <w:rFonts w:ascii="Arial" w:hAnsi="Arial"/>
          <w:spacing w:val="-4"/>
          <w:sz w:val="19"/>
          <w:szCs w:val="19"/>
        </w:rPr>
      </w:pPr>
      <w:r w:rsidRPr="00E20542">
        <w:rPr>
          <w:rFonts w:ascii="Arial" w:hAnsi="Arial"/>
          <w:spacing w:val="-4"/>
          <w:sz w:val="19"/>
          <w:szCs w:val="19"/>
          <w:lang w:bidi="th-TH"/>
        </w:rPr>
        <w:t>Those charged with governance are responsible for overseeing the Group’s financial reporting process.</w:t>
      </w:r>
    </w:p>
    <w:p w14:paraId="71B50316" w14:textId="77777777" w:rsidR="00607B8F" w:rsidRDefault="00607B8F">
      <w:pPr>
        <w:spacing w:after="0" w:line="240" w:lineRule="auto"/>
        <w:rPr>
          <w:rFonts w:ascii="Arial" w:hAnsi="Arial" w:cstheme="minorBidi"/>
          <w:i/>
          <w:iCs/>
          <w:sz w:val="16"/>
          <w:szCs w:val="16"/>
          <w:lang w:bidi="th-TH"/>
        </w:rPr>
      </w:pPr>
    </w:p>
    <w:p w14:paraId="5072F84C" w14:textId="77777777" w:rsidR="00C35058" w:rsidRDefault="00C35058">
      <w:pPr>
        <w:spacing w:after="0" w:line="240" w:lineRule="auto"/>
        <w:rPr>
          <w:rFonts w:ascii="Arial" w:hAnsi="Arial" w:cstheme="minorBidi"/>
          <w:i/>
          <w:iCs/>
          <w:sz w:val="16"/>
          <w:szCs w:val="16"/>
          <w:lang w:bidi="th-TH"/>
        </w:rPr>
      </w:pPr>
    </w:p>
    <w:p w14:paraId="203CE41B" w14:textId="77777777" w:rsidR="00C35058" w:rsidRDefault="00C35058">
      <w:pPr>
        <w:spacing w:after="0" w:line="240" w:lineRule="auto"/>
        <w:rPr>
          <w:rFonts w:ascii="Arial" w:hAnsi="Arial" w:cstheme="minorBidi" w:hint="cs"/>
          <w:i/>
          <w:iCs/>
          <w:sz w:val="16"/>
          <w:szCs w:val="16"/>
          <w:lang w:bidi="th-TH"/>
        </w:rPr>
      </w:pPr>
    </w:p>
    <w:p w14:paraId="0E48E6E3" w14:textId="77777777" w:rsidR="00A44796" w:rsidRDefault="00A44796">
      <w:pPr>
        <w:spacing w:after="0" w:line="240" w:lineRule="auto"/>
        <w:rPr>
          <w:rFonts w:ascii="Arial" w:hAnsi="Arial" w:cstheme="minorBidi"/>
          <w:i/>
          <w:iCs/>
          <w:sz w:val="16"/>
          <w:szCs w:val="16"/>
          <w:lang w:bidi="th-TH"/>
        </w:rPr>
      </w:pPr>
    </w:p>
    <w:p w14:paraId="0E833309" w14:textId="77777777" w:rsidR="00A44796" w:rsidRDefault="00A44796">
      <w:pPr>
        <w:spacing w:after="0" w:line="240" w:lineRule="auto"/>
        <w:rPr>
          <w:rFonts w:ascii="Arial" w:hAnsi="Arial" w:cstheme="minorBidi"/>
          <w:i/>
          <w:iCs/>
          <w:sz w:val="16"/>
          <w:szCs w:val="16"/>
          <w:lang w:bidi="th-TH"/>
        </w:rPr>
      </w:pPr>
    </w:p>
    <w:p w14:paraId="53E3D5FD" w14:textId="77777777" w:rsidR="00A44796" w:rsidRDefault="00A44796">
      <w:pPr>
        <w:spacing w:after="0" w:line="240" w:lineRule="auto"/>
        <w:rPr>
          <w:rFonts w:ascii="Arial" w:hAnsi="Arial" w:cstheme="minorBidi"/>
          <w:i/>
          <w:iCs/>
          <w:sz w:val="16"/>
          <w:szCs w:val="16"/>
          <w:lang w:bidi="th-TH"/>
        </w:rPr>
      </w:pPr>
    </w:p>
    <w:p w14:paraId="043C5994" w14:textId="77777777" w:rsidR="00A44796" w:rsidRDefault="00A44796">
      <w:pPr>
        <w:spacing w:after="0" w:line="240" w:lineRule="auto"/>
        <w:rPr>
          <w:rFonts w:ascii="Arial" w:hAnsi="Arial" w:cstheme="minorBidi"/>
          <w:i/>
          <w:iCs/>
          <w:sz w:val="16"/>
          <w:szCs w:val="16"/>
          <w:lang w:bidi="th-TH"/>
        </w:rPr>
      </w:pPr>
    </w:p>
    <w:p w14:paraId="6D302F54" w14:textId="77777777" w:rsidR="00A44796" w:rsidRDefault="00A44796">
      <w:pPr>
        <w:spacing w:after="0" w:line="240" w:lineRule="auto"/>
        <w:rPr>
          <w:rFonts w:ascii="Arial" w:hAnsi="Arial" w:cstheme="minorBidi"/>
          <w:i/>
          <w:iCs/>
          <w:sz w:val="16"/>
          <w:szCs w:val="16"/>
          <w:lang w:bidi="th-TH"/>
        </w:rPr>
      </w:pPr>
    </w:p>
    <w:p w14:paraId="1E0C0BEC" w14:textId="77777777" w:rsidR="00A44796" w:rsidRDefault="00A44796">
      <w:pPr>
        <w:spacing w:after="0" w:line="240" w:lineRule="auto"/>
        <w:rPr>
          <w:rFonts w:ascii="Arial" w:hAnsi="Arial" w:cstheme="minorBidi"/>
          <w:i/>
          <w:iCs/>
          <w:sz w:val="16"/>
          <w:szCs w:val="16"/>
          <w:lang w:bidi="th-TH"/>
        </w:rPr>
      </w:pPr>
    </w:p>
    <w:p w14:paraId="4F3FF24E" w14:textId="77777777" w:rsidR="00A44796" w:rsidRDefault="00A44796">
      <w:pPr>
        <w:spacing w:after="0" w:line="240" w:lineRule="auto"/>
        <w:rPr>
          <w:rFonts w:ascii="Arial" w:hAnsi="Arial" w:cstheme="minorBidi"/>
          <w:i/>
          <w:iCs/>
          <w:sz w:val="16"/>
          <w:szCs w:val="16"/>
          <w:lang w:bidi="th-TH"/>
        </w:rPr>
      </w:pPr>
    </w:p>
    <w:p w14:paraId="156CA79B" w14:textId="77777777" w:rsidR="00A44796" w:rsidRDefault="00A44796">
      <w:pPr>
        <w:spacing w:after="0" w:line="240" w:lineRule="auto"/>
        <w:rPr>
          <w:rFonts w:ascii="Arial" w:hAnsi="Arial" w:cstheme="minorBidi"/>
          <w:i/>
          <w:iCs/>
          <w:sz w:val="16"/>
          <w:szCs w:val="16"/>
          <w:lang w:bidi="th-TH"/>
        </w:rPr>
      </w:pPr>
    </w:p>
    <w:p w14:paraId="72E2BBF1" w14:textId="77777777" w:rsidR="00A44796" w:rsidRDefault="00A44796">
      <w:pPr>
        <w:spacing w:after="0" w:line="240" w:lineRule="auto"/>
        <w:rPr>
          <w:rFonts w:ascii="Arial" w:hAnsi="Arial" w:cstheme="minorBidi"/>
          <w:i/>
          <w:iCs/>
          <w:sz w:val="16"/>
          <w:szCs w:val="16"/>
          <w:lang w:bidi="th-TH"/>
        </w:rPr>
      </w:pPr>
    </w:p>
    <w:p w14:paraId="625AA5C2" w14:textId="77777777" w:rsidR="00A44796" w:rsidRDefault="00A44796">
      <w:pPr>
        <w:spacing w:after="0" w:line="240" w:lineRule="auto"/>
        <w:rPr>
          <w:rFonts w:ascii="Arial" w:hAnsi="Arial" w:cstheme="minorBidi"/>
          <w:i/>
          <w:iCs/>
          <w:sz w:val="16"/>
          <w:szCs w:val="16"/>
          <w:lang w:bidi="th-TH"/>
        </w:rPr>
      </w:pPr>
    </w:p>
    <w:p w14:paraId="72A8BA79" w14:textId="77777777" w:rsidR="00A44796" w:rsidRPr="00D36D93" w:rsidRDefault="00A44796">
      <w:pPr>
        <w:spacing w:after="0" w:line="240" w:lineRule="auto"/>
        <w:rPr>
          <w:rFonts w:ascii="Arial" w:hAnsi="Arial" w:cstheme="minorBidi" w:hint="cs"/>
          <w:i/>
          <w:iCs/>
          <w:sz w:val="16"/>
          <w:szCs w:val="16"/>
          <w:lang w:bidi="th-TH"/>
        </w:rPr>
      </w:pPr>
    </w:p>
    <w:p w14:paraId="3295958E" w14:textId="579761CC" w:rsidR="008C6C1C" w:rsidRPr="00607B8F" w:rsidRDefault="002B2BA2" w:rsidP="002B2BA2">
      <w:pPr>
        <w:spacing w:after="0" w:line="360" w:lineRule="auto"/>
        <w:jc w:val="thaiDistribute"/>
        <w:rPr>
          <w:rFonts w:ascii="Arial" w:hAnsi="Arial"/>
          <w:i/>
          <w:iCs/>
          <w:sz w:val="19"/>
          <w:szCs w:val="19"/>
          <w:lang w:bidi="th-TH"/>
        </w:rPr>
      </w:pPr>
      <w:r w:rsidRPr="00607B8F">
        <w:rPr>
          <w:rFonts w:ascii="Arial" w:hAnsi="Arial"/>
          <w:i/>
          <w:iCs/>
          <w:sz w:val="19"/>
          <w:szCs w:val="19"/>
          <w:lang w:bidi="th-TH"/>
        </w:rPr>
        <w:lastRenderedPageBreak/>
        <w:t>Auditor’s Responsibilities for the Audit of the Consolidate</w:t>
      </w:r>
      <w:r w:rsidR="004D3C25">
        <w:rPr>
          <w:rFonts w:ascii="Arial" w:hAnsi="Arial"/>
          <w:i/>
          <w:iCs/>
          <w:sz w:val="19"/>
          <w:szCs w:val="19"/>
          <w:lang w:bidi="th-TH"/>
        </w:rPr>
        <w:t>d</w:t>
      </w:r>
      <w:r w:rsidRPr="00607B8F">
        <w:rPr>
          <w:rFonts w:ascii="Arial" w:hAnsi="Arial"/>
          <w:i/>
          <w:iCs/>
          <w:sz w:val="19"/>
          <w:szCs w:val="19"/>
          <w:lang w:bidi="th-TH"/>
        </w:rPr>
        <w:t xml:space="preserve"> Financial Statements and Separate</w:t>
      </w:r>
      <w:r w:rsidR="004168D9" w:rsidRPr="00607B8F">
        <w:rPr>
          <w:rFonts w:ascii="Arial" w:hAnsi="Arial"/>
          <w:i/>
          <w:iCs/>
          <w:sz w:val="19"/>
          <w:szCs w:val="19"/>
          <w:lang w:bidi="th-TH"/>
        </w:rPr>
        <w:t xml:space="preserve"> </w:t>
      </w:r>
      <w:r w:rsidRPr="00607B8F">
        <w:rPr>
          <w:rFonts w:ascii="Arial" w:hAnsi="Arial"/>
          <w:i/>
          <w:iCs/>
          <w:sz w:val="19"/>
          <w:szCs w:val="19"/>
          <w:lang w:bidi="th-TH"/>
        </w:rPr>
        <w:t>Financial Statements</w:t>
      </w:r>
    </w:p>
    <w:p w14:paraId="4C4160A2" w14:textId="77777777" w:rsidR="002B2BA2" w:rsidRPr="00D36D93" w:rsidRDefault="002B2BA2" w:rsidP="002B2BA2">
      <w:pPr>
        <w:spacing w:after="0" w:line="360" w:lineRule="auto"/>
        <w:jc w:val="thaiDistribute"/>
        <w:rPr>
          <w:rFonts w:ascii="Arial" w:hAnsi="Arial"/>
          <w:sz w:val="16"/>
          <w:szCs w:val="16"/>
          <w:cs/>
          <w:lang w:bidi="th-TH"/>
        </w:rPr>
      </w:pPr>
    </w:p>
    <w:p w14:paraId="5080C11E" w14:textId="6139B9A3" w:rsidR="00991277" w:rsidRPr="00607B8F" w:rsidRDefault="00991277" w:rsidP="006B5898">
      <w:pPr>
        <w:spacing w:after="0" w:line="360" w:lineRule="auto"/>
        <w:jc w:val="thaiDistribute"/>
        <w:rPr>
          <w:rFonts w:ascii="Arial" w:hAnsi="Arial"/>
          <w:sz w:val="19"/>
          <w:szCs w:val="19"/>
          <w:lang w:bidi="th-TH"/>
        </w:rPr>
      </w:pPr>
      <w:r w:rsidRPr="00607B8F">
        <w:rPr>
          <w:rFonts w:ascii="Arial" w:hAnsi="Arial"/>
          <w:sz w:val="19"/>
          <w:szCs w:val="19"/>
          <w:lang w:bidi="th-TH"/>
        </w:rPr>
        <w:t>My responsibility is to conduct an audit of these consolidated and separate financial statements in accordance with Thai Standards on Auditing and to issue an auditor’s report. However, because of the matters described in the Basis for Disclaimer of Opinion sections of my report, I w</w:t>
      </w:r>
      <w:r w:rsidR="0025770C" w:rsidRPr="00607B8F">
        <w:rPr>
          <w:rFonts w:ascii="Arial" w:hAnsi="Arial"/>
          <w:sz w:val="19"/>
          <w:szCs w:val="19"/>
          <w:lang w:bidi="th-TH"/>
        </w:rPr>
        <w:t>ere</w:t>
      </w:r>
      <w:r w:rsidRPr="00607B8F">
        <w:rPr>
          <w:rFonts w:ascii="Arial" w:hAnsi="Arial"/>
          <w:sz w:val="19"/>
          <w:szCs w:val="19"/>
          <w:lang w:bidi="th-TH"/>
        </w:rPr>
        <w:t xml:space="preserve"> not able to obtain sufficient appropriate audit evidence to provide a basis for an audit opinion on these consolidated and separate financial statements.</w:t>
      </w:r>
    </w:p>
    <w:p w14:paraId="767D7D3A" w14:textId="77777777" w:rsidR="00991277" w:rsidRPr="00E20542" w:rsidRDefault="00991277" w:rsidP="00991277">
      <w:pPr>
        <w:tabs>
          <w:tab w:val="left" w:pos="360"/>
        </w:tabs>
        <w:spacing w:after="0" w:line="360" w:lineRule="auto"/>
        <w:ind w:left="360" w:hanging="360"/>
        <w:jc w:val="thaiDistribute"/>
        <w:rPr>
          <w:rFonts w:ascii="Arial" w:hAnsi="Arial"/>
          <w:sz w:val="16"/>
          <w:szCs w:val="16"/>
          <w:lang w:bidi="th-TH"/>
        </w:rPr>
      </w:pPr>
    </w:p>
    <w:p w14:paraId="3CBF34A9" w14:textId="473A1866" w:rsidR="008C6C1C" w:rsidRPr="00607B8F" w:rsidRDefault="00991277" w:rsidP="006B5898">
      <w:pPr>
        <w:tabs>
          <w:tab w:val="left" w:pos="0"/>
        </w:tabs>
        <w:spacing w:after="0" w:line="360" w:lineRule="auto"/>
        <w:jc w:val="thaiDistribute"/>
        <w:rPr>
          <w:rFonts w:ascii="Arial" w:hAnsi="Arial"/>
          <w:sz w:val="19"/>
          <w:szCs w:val="19"/>
        </w:rPr>
      </w:pPr>
      <w:r w:rsidRPr="00607B8F">
        <w:rPr>
          <w:rFonts w:ascii="Arial" w:hAnsi="Arial"/>
          <w:sz w:val="19"/>
          <w:szCs w:val="19"/>
          <w:lang w:bidi="th-TH"/>
        </w:rPr>
        <w:t>I am independent of the Group and the Company in accordance with the Code of Ethics for Professional Accountants including Independence Standards issued by the Federation of Accounting Professions (TFAC Code) that are relevant to my audit of the consolidated and separate financial statements, and I have fulfilled my other ethical responsibilities in accordance with the TFAC Code.</w:t>
      </w:r>
    </w:p>
    <w:p w14:paraId="3EEAA3AB" w14:textId="77777777" w:rsidR="00D36D93" w:rsidRDefault="00D36D93" w:rsidP="0064005C">
      <w:pPr>
        <w:spacing w:after="0" w:line="360" w:lineRule="auto"/>
        <w:jc w:val="thaiDistribute"/>
        <w:rPr>
          <w:rFonts w:ascii="Arial" w:hAnsi="Arial"/>
          <w:szCs w:val="18"/>
        </w:rPr>
      </w:pPr>
    </w:p>
    <w:p w14:paraId="09F64FDE" w14:textId="77777777" w:rsidR="00D36D93" w:rsidRPr="00D36D93" w:rsidRDefault="00D36D93" w:rsidP="0064005C">
      <w:pPr>
        <w:spacing w:after="0" w:line="360" w:lineRule="auto"/>
        <w:jc w:val="thaiDistribute"/>
        <w:rPr>
          <w:rFonts w:ascii="Arial" w:hAnsi="Arial"/>
          <w:szCs w:val="18"/>
        </w:rPr>
      </w:pPr>
    </w:p>
    <w:p w14:paraId="5D5E799B" w14:textId="77777777" w:rsidR="00512D95" w:rsidRDefault="00512D95" w:rsidP="00512D95">
      <w:pPr>
        <w:spacing w:after="0" w:line="360" w:lineRule="auto"/>
        <w:jc w:val="thaiDistribute"/>
        <w:rPr>
          <w:rFonts w:ascii="Arial" w:hAnsi="Arial"/>
          <w:b/>
          <w:bCs/>
          <w:sz w:val="19"/>
          <w:szCs w:val="19"/>
        </w:rPr>
      </w:pPr>
      <w:r>
        <w:rPr>
          <w:rFonts w:ascii="Arial" w:hAnsi="Arial"/>
          <w:b/>
          <w:bCs/>
          <w:sz w:val="19"/>
          <w:szCs w:val="19"/>
        </w:rPr>
        <w:t xml:space="preserve">Luxsamee Deetrakulwattanapol </w:t>
      </w:r>
    </w:p>
    <w:p w14:paraId="0C6C1EA8" w14:textId="77777777" w:rsidR="00512D95" w:rsidRDefault="00512D95" w:rsidP="00512D95">
      <w:pPr>
        <w:spacing w:after="0" w:line="360" w:lineRule="auto"/>
        <w:jc w:val="thaiDistribute"/>
        <w:rPr>
          <w:rFonts w:ascii="Arial" w:hAnsi="Arial"/>
          <w:sz w:val="19"/>
          <w:szCs w:val="19"/>
        </w:rPr>
      </w:pPr>
      <w:r>
        <w:rPr>
          <w:rFonts w:ascii="Arial" w:hAnsi="Arial"/>
          <w:sz w:val="19"/>
          <w:szCs w:val="19"/>
        </w:rPr>
        <w:t xml:space="preserve">Certified Public Accountant </w:t>
      </w:r>
    </w:p>
    <w:p w14:paraId="2AE0C35D" w14:textId="77777777" w:rsidR="00512D95" w:rsidRDefault="00512D95" w:rsidP="00512D95">
      <w:pPr>
        <w:spacing w:after="0" w:line="360" w:lineRule="auto"/>
        <w:jc w:val="thaiDistribute"/>
        <w:rPr>
          <w:rFonts w:ascii="Arial" w:hAnsi="Arial"/>
          <w:sz w:val="19"/>
          <w:szCs w:val="19"/>
          <w:lang w:bidi="th-TH"/>
        </w:rPr>
      </w:pPr>
      <w:r>
        <w:rPr>
          <w:rFonts w:ascii="Arial" w:hAnsi="Arial"/>
          <w:sz w:val="19"/>
          <w:szCs w:val="19"/>
        </w:rPr>
        <w:t>Registration No. 9056</w:t>
      </w:r>
    </w:p>
    <w:p w14:paraId="0BB38055" w14:textId="77777777" w:rsidR="00512D95" w:rsidRDefault="00512D95" w:rsidP="00512D95">
      <w:pPr>
        <w:spacing w:after="0" w:line="360" w:lineRule="auto"/>
        <w:jc w:val="thaiDistribute"/>
        <w:rPr>
          <w:rFonts w:ascii="Arial" w:hAnsi="Arial"/>
          <w:sz w:val="19"/>
          <w:szCs w:val="19"/>
          <w:cs/>
        </w:rPr>
      </w:pPr>
    </w:p>
    <w:p w14:paraId="004F038A" w14:textId="77777777" w:rsidR="00512D95" w:rsidRDefault="00512D95" w:rsidP="00512D95">
      <w:pPr>
        <w:spacing w:after="0" w:line="360" w:lineRule="auto"/>
        <w:jc w:val="thaiDistribute"/>
        <w:rPr>
          <w:rFonts w:ascii="Arial" w:hAnsi="Arial"/>
          <w:sz w:val="19"/>
          <w:szCs w:val="19"/>
        </w:rPr>
      </w:pPr>
      <w:r>
        <w:rPr>
          <w:rFonts w:ascii="Arial" w:hAnsi="Arial"/>
          <w:sz w:val="19"/>
          <w:szCs w:val="19"/>
        </w:rPr>
        <w:t>Grant Thornton Limited</w:t>
      </w:r>
    </w:p>
    <w:p w14:paraId="7247839F" w14:textId="77777777" w:rsidR="00512D95" w:rsidRDefault="00512D95" w:rsidP="00512D95">
      <w:pPr>
        <w:spacing w:after="0" w:line="360" w:lineRule="auto"/>
        <w:jc w:val="thaiDistribute"/>
        <w:rPr>
          <w:rFonts w:ascii="Arial" w:hAnsi="Arial"/>
          <w:sz w:val="19"/>
          <w:szCs w:val="19"/>
        </w:rPr>
      </w:pPr>
      <w:r>
        <w:rPr>
          <w:rFonts w:ascii="Arial" w:hAnsi="Arial"/>
          <w:sz w:val="19"/>
          <w:szCs w:val="19"/>
        </w:rPr>
        <w:t>Bangkok</w:t>
      </w:r>
    </w:p>
    <w:p w14:paraId="2CF1266F" w14:textId="3970D138" w:rsidR="003B59B3" w:rsidRPr="00CF14F0" w:rsidRDefault="00722D3E" w:rsidP="00512D95">
      <w:pPr>
        <w:spacing w:after="0" w:line="360" w:lineRule="auto"/>
        <w:rPr>
          <w:rFonts w:ascii="Leelawadee" w:hAnsi="Leelawadee" w:cs="Leelawadee"/>
          <w:sz w:val="19"/>
          <w:szCs w:val="19"/>
          <w:cs/>
          <w:lang w:val="en-US"/>
        </w:rPr>
      </w:pPr>
      <w:r>
        <w:rPr>
          <w:rFonts w:ascii="Arial" w:hAnsi="Arial"/>
          <w:sz w:val="19"/>
          <w:szCs w:val="19"/>
          <w:lang w:val="en-US"/>
        </w:rPr>
        <w:t xml:space="preserve">28 March </w:t>
      </w:r>
      <w:r w:rsidR="00512D95">
        <w:rPr>
          <w:rFonts w:ascii="Arial" w:hAnsi="Arial"/>
          <w:sz w:val="19"/>
          <w:szCs w:val="19"/>
          <w:lang w:val="en-US"/>
        </w:rPr>
        <w:t>2024</w:t>
      </w:r>
    </w:p>
    <w:sectPr w:rsidR="003B59B3" w:rsidRPr="00CF14F0" w:rsidSect="005D3460">
      <w:headerReference w:type="even" r:id="rId11"/>
      <w:headerReference w:type="default" r:id="rId12"/>
      <w:footerReference w:type="default" r:id="rId13"/>
      <w:headerReference w:type="first" r:id="rId14"/>
      <w:footerReference w:type="first" r:id="rId15"/>
      <w:pgSz w:w="11907" w:h="16840" w:code="9"/>
      <w:pgMar w:top="1620" w:right="913" w:bottom="510" w:left="2665" w:header="743" w:footer="1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AF186" w14:textId="77777777" w:rsidR="005D3460" w:rsidRDefault="005D3460">
      <w:r>
        <w:separator/>
      </w:r>
    </w:p>
  </w:endnote>
  <w:endnote w:type="continuationSeparator" w:id="0">
    <w:p w14:paraId="6108C0E4" w14:textId="77777777" w:rsidR="005D3460" w:rsidRDefault="005D3460">
      <w:r>
        <w:continuationSeparator/>
      </w:r>
    </w:p>
  </w:endnote>
  <w:endnote w:type="continuationNotice" w:id="1">
    <w:p w14:paraId="5D0CB34C" w14:textId="77777777" w:rsidR="005D3460" w:rsidRDefault="005D3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owallia New">
    <w:altName w:val="Leelawadee UI"/>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81" w:rightFromText="181" w:topFromText="170" w:tblpYSpec="bottom"/>
      <w:tblOverlap w:val="never"/>
      <w:tblW w:w="8361" w:type="dxa"/>
      <w:tblBorders>
        <w:top w:val="single" w:sz="12" w:space="0" w:color="4F2D7F"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81"/>
      <w:gridCol w:w="227"/>
      <w:gridCol w:w="2353"/>
    </w:tblGrid>
    <w:tr w:rsidR="00791F3E" w:rsidRPr="0069090D" w14:paraId="56D513D5" w14:textId="77777777" w:rsidTr="00791F3E">
      <w:trPr>
        <w:trHeight w:val="57"/>
      </w:trPr>
      <w:tc>
        <w:tcPr>
          <w:tcW w:w="5781" w:type="dxa"/>
        </w:tcPr>
        <w:p w14:paraId="69699D47" w14:textId="77777777" w:rsidR="00791F3E" w:rsidRDefault="00791F3E" w:rsidP="00D15EA5">
          <w:pPr>
            <w:pStyle w:val="Smlspace"/>
            <w:framePr w:hSpace="0" w:wrap="auto" w:vAnchor="margin" w:yAlign="inline"/>
          </w:pPr>
        </w:p>
      </w:tc>
      <w:tc>
        <w:tcPr>
          <w:tcW w:w="227" w:type="dxa"/>
          <w:tcBorders>
            <w:top w:val="nil"/>
          </w:tcBorders>
          <w:vAlign w:val="bottom"/>
        </w:tcPr>
        <w:p w14:paraId="13C3A235" w14:textId="77777777" w:rsidR="00791F3E" w:rsidRPr="0069090D" w:rsidRDefault="00791F3E" w:rsidP="00D15EA5">
          <w:pPr>
            <w:pStyle w:val="Smlspace"/>
            <w:framePr w:hSpace="0" w:wrap="auto" w:vAnchor="margin" w:yAlign="inline"/>
          </w:pPr>
        </w:p>
      </w:tc>
      <w:tc>
        <w:tcPr>
          <w:tcW w:w="2353" w:type="dxa"/>
          <w:vAlign w:val="bottom"/>
        </w:tcPr>
        <w:p w14:paraId="533296EE" w14:textId="77777777" w:rsidR="00791F3E" w:rsidRPr="00577D61" w:rsidRDefault="00791F3E" w:rsidP="00D15EA5">
          <w:pPr>
            <w:pStyle w:val="Smlspace"/>
            <w:framePr w:hSpace="0" w:wrap="auto" w:vAnchor="margin" w:yAlign="inline"/>
          </w:pPr>
        </w:p>
      </w:tc>
    </w:tr>
    <w:tr w:rsidR="00791F3E" w:rsidRPr="0069090D" w14:paraId="6F4D06E7" w14:textId="77777777" w:rsidTr="00791F3E">
      <w:trPr>
        <w:trHeight w:val="116"/>
      </w:trPr>
      <w:tc>
        <w:tcPr>
          <w:tcW w:w="5781" w:type="dxa"/>
        </w:tcPr>
        <w:p w14:paraId="4766B762" w14:textId="77777777" w:rsidR="00791F3E" w:rsidRDefault="00791F3E" w:rsidP="00D15EA5">
          <w:pPr>
            <w:pStyle w:val="LetterFooter"/>
          </w:pPr>
          <w:r>
            <w:t>Certified Public Accountants and International Business Consultants Grant Thornton Limited is a member firm of Grant Thornton International Ltd ("GTIL"). GTIL and the member firms are not a worldwide partnership. Services are delivered independently by the member firms, which are not responsible for the services or activities of one another. GTIL does not provide services to clients.</w:t>
          </w:r>
        </w:p>
      </w:tc>
      <w:tc>
        <w:tcPr>
          <w:tcW w:w="227" w:type="dxa"/>
          <w:tcBorders>
            <w:top w:val="nil"/>
          </w:tcBorders>
          <w:vAlign w:val="bottom"/>
        </w:tcPr>
        <w:p w14:paraId="4A95FEBF" w14:textId="77777777" w:rsidR="00791F3E" w:rsidRPr="0069090D" w:rsidRDefault="00791F3E" w:rsidP="00D15EA5">
          <w:pPr>
            <w:pStyle w:val="LetterFooter"/>
          </w:pPr>
        </w:p>
      </w:tc>
      <w:tc>
        <w:tcPr>
          <w:tcW w:w="2353" w:type="dxa"/>
        </w:tcPr>
        <w:p w14:paraId="775ABE8C" w14:textId="77777777" w:rsidR="00791F3E" w:rsidRPr="00577D61" w:rsidRDefault="00791F3E" w:rsidP="00D15EA5">
          <w:pPr>
            <w:pStyle w:val="LetterFooterURL"/>
            <w:jc w:val="right"/>
          </w:pPr>
          <w:r>
            <w:t>grantthornton.co.th</w:t>
          </w:r>
        </w:p>
      </w:tc>
    </w:tr>
  </w:tbl>
  <w:p w14:paraId="790ECA78" w14:textId="77777777" w:rsidR="00791F3E" w:rsidRDefault="00791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81" w:rightFromText="181" w:topFromText="170" w:tblpYSpec="bottom"/>
      <w:tblOverlap w:val="never"/>
      <w:tblW w:w="8361" w:type="dxa"/>
      <w:tblBorders>
        <w:top w:val="single" w:sz="12" w:space="0" w:color="4F2D7F"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81"/>
      <w:gridCol w:w="227"/>
      <w:gridCol w:w="2353"/>
    </w:tblGrid>
    <w:tr w:rsidR="00791F3E" w:rsidRPr="0069090D" w14:paraId="1DE8FDC2" w14:textId="77777777" w:rsidTr="00E1053A">
      <w:trPr>
        <w:trHeight w:hRule="exact" w:val="227"/>
      </w:trPr>
      <w:tc>
        <w:tcPr>
          <w:tcW w:w="5781" w:type="dxa"/>
          <w:tcBorders>
            <w:top w:val="nil"/>
            <w:bottom w:val="nil"/>
          </w:tcBorders>
          <w:vAlign w:val="bottom"/>
        </w:tcPr>
        <w:p w14:paraId="050EF7F5" w14:textId="77777777" w:rsidR="00791F3E" w:rsidRPr="008719C2" w:rsidRDefault="00791F3E" w:rsidP="00A11FB4">
          <w:pPr>
            <w:pStyle w:val="LetterFooter"/>
          </w:pPr>
        </w:p>
      </w:tc>
      <w:tc>
        <w:tcPr>
          <w:tcW w:w="227" w:type="dxa"/>
          <w:tcBorders>
            <w:top w:val="nil"/>
            <w:bottom w:val="nil"/>
          </w:tcBorders>
          <w:vAlign w:val="bottom"/>
        </w:tcPr>
        <w:p w14:paraId="2A4B3717" w14:textId="77777777" w:rsidR="00791F3E" w:rsidRPr="008719C2" w:rsidRDefault="00791F3E" w:rsidP="00A11FB4">
          <w:pPr>
            <w:pStyle w:val="LetterFooter"/>
          </w:pPr>
        </w:p>
      </w:tc>
      <w:tc>
        <w:tcPr>
          <w:tcW w:w="2353" w:type="dxa"/>
          <w:tcBorders>
            <w:top w:val="nil"/>
            <w:bottom w:val="nil"/>
          </w:tcBorders>
          <w:vAlign w:val="bottom"/>
        </w:tcPr>
        <w:p w14:paraId="228D32F7" w14:textId="77777777" w:rsidR="00791F3E" w:rsidRPr="008719C2" w:rsidRDefault="00791F3E" w:rsidP="00A11FB4">
          <w:pPr>
            <w:pStyle w:val="LetterFooter"/>
          </w:pPr>
        </w:p>
      </w:tc>
    </w:tr>
    <w:tr w:rsidR="00791F3E" w:rsidRPr="0069090D" w14:paraId="5A91D24B" w14:textId="77777777" w:rsidTr="00E1053A">
      <w:trPr>
        <w:trHeight w:val="57"/>
      </w:trPr>
      <w:tc>
        <w:tcPr>
          <w:tcW w:w="5781" w:type="dxa"/>
          <w:tcBorders>
            <w:top w:val="nil"/>
            <w:bottom w:val="single" w:sz="12" w:space="0" w:color="4F2D7F" w:themeColor="accent1"/>
          </w:tcBorders>
          <w:vAlign w:val="bottom"/>
        </w:tcPr>
        <w:p w14:paraId="0E5BAEA8" w14:textId="77777777" w:rsidR="00791F3E" w:rsidRDefault="00791F3E" w:rsidP="00A11FB4">
          <w:pPr>
            <w:pStyle w:val="LicenceNumber"/>
          </w:pPr>
          <w:bookmarkStart w:id="6" w:name="License_Number"/>
          <w:bookmarkEnd w:id="6"/>
        </w:p>
        <w:p w14:paraId="6E4818D4" w14:textId="77777777" w:rsidR="00791F3E" w:rsidRPr="000D0E98" w:rsidRDefault="00791F3E" w:rsidP="00A11FB4">
          <w:pPr>
            <w:pStyle w:val="Smlspace"/>
            <w:framePr w:hSpace="0" w:wrap="auto" w:vAnchor="margin" w:yAlign="inline"/>
          </w:pPr>
        </w:p>
      </w:tc>
      <w:tc>
        <w:tcPr>
          <w:tcW w:w="227" w:type="dxa"/>
          <w:tcBorders>
            <w:top w:val="nil"/>
            <w:bottom w:val="nil"/>
          </w:tcBorders>
          <w:vAlign w:val="bottom"/>
        </w:tcPr>
        <w:p w14:paraId="5EED66E3" w14:textId="77777777" w:rsidR="00791F3E" w:rsidRPr="000D0E98" w:rsidRDefault="00791F3E" w:rsidP="00A11FB4">
          <w:pPr>
            <w:pStyle w:val="Smlspace"/>
            <w:framePr w:hSpace="0" w:wrap="auto" w:vAnchor="margin" w:yAlign="inline"/>
          </w:pPr>
        </w:p>
      </w:tc>
      <w:tc>
        <w:tcPr>
          <w:tcW w:w="2353" w:type="dxa"/>
          <w:tcBorders>
            <w:top w:val="nil"/>
            <w:bottom w:val="single" w:sz="12" w:space="0" w:color="4F2D7F" w:themeColor="accent1"/>
          </w:tcBorders>
          <w:vAlign w:val="bottom"/>
        </w:tcPr>
        <w:p w14:paraId="549105A1" w14:textId="77777777" w:rsidR="00791F3E" w:rsidRPr="000D0E98" w:rsidRDefault="00791F3E" w:rsidP="00A11FB4">
          <w:pPr>
            <w:pStyle w:val="Smlspace"/>
            <w:framePr w:hSpace="0" w:wrap="auto" w:vAnchor="margin" w:yAlign="inline"/>
          </w:pPr>
        </w:p>
      </w:tc>
    </w:tr>
    <w:tr w:rsidR="00791F3E" w:rsidRPr="0069090D" w14:paraId="171857AC" w14:textId="77777777" w:rsidTr="00C63023">
      <w:trPr>
        <w:trHeight w:val="57"/>
      </w:trPr>
      <w:tc>
        <w:tcPr>
          <w:tcW w:w="5781" w:type="dxa"/>
        </w:tcPr>
        <w:p w14:paraId="273D7B29" w14:textId="77777777" w:rsidR="00791F3E" w:rsidRDefault="00791F3E" w:rsidP="00C63023">
          <w:pPr>
            <w:pStyle w:val="Smlspace"/>
            <w:framePr w:hSpace="0" w:wrap="auto" w:vAnchor="margin" w:yAlign="inline"/>
          </w:pPr>
        </w:p>
      </w:tc>
      <w:tc>
        <w:tcPr>
          <w:tcW w:w="227" w:type="dxa"/>
          <w:tcBorders>
            <w:top w:val="nil"/>
          </w:tcBorders>
          <w:vAlign w:val="bottom"/>
        </w:tcPr>
        <w:p w14:paraId="7CAAADA8" w14:textId="77777777" w:rsidR="00791F3E" w:rsidRPr="0069090D" w:rsidRDefault="00791F3E" w:rsidP="00C63023">
          <w:pPr>
            <w:pStyle w:val="Smlspace"/>
            <w:framePr w:hSpace="0" w:wrap="auto" w:vAnchor="margin" w:yAlign="inline"/>
          </w:pPr>
        </w:p>
      </w:tc>
      <w:tc>
        <w:tcPr>
          <w:tcW w:w="2353" w:type="dxa"/>
          <w:vAlign w:val="bottom"/>
        </w:tcPr>
        <w:p w14:paraId="3AD4F719" w14:textId="77777777" w:rsidR="00791F3E" w:rsidRPr="00577D61" w:rsidRDefault="00791F3E" w:rsidP="00C63023">
          <w:pPr>
            <w:pStyle w:val="Smlspace"/>
            <w:framePr w:hSpace="0" w:wrap="auto" w:vAnchor="margin" w:yAlign="inline"/>
          </w:pPr>
        </w:p>
      </w:tc>
    </w:tr>
    <w:tr w:rsidR="00791F3E" w:rsidRPr="0069090D" w14:paraId="23DED6D2" w14:textId="77777777" w:rsidTr="00DB5F40">
      <w:trPr>
        <w:trHeight w:val="116"/>
      </w:trPr>
      <w:tc>
        <w:tcPr>
          <w:tcW w:w="5781" w:type="dxa"/>
        </w:tcPr>
        <w:p w14:paraId="1BE80FF1" w14:textId="77777777" w:rsidR="00791F3E" w:rsidRDefault="00791F3E" w:rsidP="00F246A1">
          <w:pPr>
            <w:pStyle w:val="LetterFooter"/>
          </w:pPr>
          <w:bookmarkStart w:id="7" w:name="Footer2_tbl"/>
          <w:bookmarkStart w:id="8" w:name="Footer1_tbl"/>
          <w:r>
            <w:t>Certified Public Accountants and International Business Consultants Grant Thornton Limited is a member firm of Grant Thornton International Ltd ("GTIL"). GTIL and the member firms are not a worldwide partnership. Services are delivered independently by the member firms, which are not responsible for the services or activities of one another. GTIL does not provide services to clients.</w:t>
          </w:r>
          <w:bookmarkEnd w:id="7"/>
        </w:p>
      </w:tc>
      <w:tc>
        <w:tcPr>
          <w:tcW w:w="227" w:type="dxa"/>
          <w:tcBorders>
            <w:top w:val="nil"/>
          </w:tcBorders>
          <w:vAlign w:val="bottom"/>
        </w:tcPr>
        <w:p w14:paraId="30B85BB5" w14:textId="77777777" w:rsidR="00791F3E" w:rsidRPr="0069090D" w:rsidRDefault="00791F3E" w:rsidP="00F730E3">
          <w:pPr>
            <w:pStyle w:val="LetterFooter"/>
          </w:pPr>
        </w:p>
      </w:tc>
      <w:tc>
        <w:tcPr>
          <w:tcW w:w="2353" w:type="dxa"/>
        </w:tcPr>
        <w:p w14:paraId="2BA2E959" w14:textId="77777777" w:rsidR="00791F3E" w:rsidRPr="00577D61" w:rsidRDefault="00791F3E" w:rsidP="00F730E3">
          <w:pPr>
            <w:pStyle w:val="LetterFooterURL"/>
            <w:jc w:val="right"/>
          </w:pPr>
          <w:bookmarkStart w:id="9" w:name="Web"/>
          <w:r>
            <w:t>grantthornton.co.th</w:t>
          </w:r>
          <w:bookmarkEnd w:id="9"/>
        </w:p>
      </w:tc>
    </w:tr>
    <w:bookmarkEnd w:id="8"/>
  </w:tbl>
  <w:p w14:paraId="36E407D0" w14:textId="77777777" w:rsidR="00791F3E" w:rsidRPr="005F4D62" w:rsidRDefault="00791F3E" w:rsidP="00A1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047E0" w14:textId="77777777" w:rsidR="005D3460" w:rsidRDefault="005D3460">
      <w:bookmarkStart w:id="0" w:name="_Hlk482348182"/>
      <w:bookmarkEnd w:id="0"/>
      <w:r>
        <w:separator/>
      </w:r>
    </w:p>
  </w:footnote>
  <w:footnote w:type="continuationSeparator" w:id="0">
    <w:p w14:paraId="7A13F323" w14:textId="77777777" w:rsidR="005D3460" w:rsidRDefault="005D3460">
      <w:r>
        <w:continuationSeparator/>
      </w:r>
    </w:p>
  </w:footnote>
  <w:footnote w:type="continuationNotice" w:id="1">
    <w:p w14:paraId="06E47C65" w14:textId="77777777" w:rsidR="005D3460" w:rsidRDefault="005D34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03CE" w14:textId="77777777" w:rsidR="00791F3E" w:rsidRDefault="00791F3E"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A5800" w14:textId="77777777" w:rsidR="00791F3E" w:rsidRDefault="00791F3E" w:rsidP="00D96128">
    <w:pPr>
      <w:pStyle w:val="Header"/>
      <w:jc w:val="right"/>
    </w:pPr>
    <w:r>
      <w:rPr>
        <w:noProof/>
        <w:lang w:eastAsia="en-GB"/>
      </w:rPr>
      <w:drawing>
        <wp:anchor distT="0" distB="0" distL="114300" distR="114300" simplePos="0" relativeHeight="251658241" behindDoc="0" locked="0" layoutInCell="1" allowOverlap="1" wp14:anchorId="133792CA" wp14:editId="3AA525E6">
          <wp:simplePos x="0" y="0"/>
          <wp:positionH relativeFrom="column">
            <wp:posOffset>-515620</wp:posOffset>
          </wp:positionH>
          <wp:positionV relativeFrom="paragraph">
            <wp:posOffset>-97155</wp:posOffset>
          </wp:positionV>
          <wp:extent cx="1987300" cy="381001"/>
          <wp:effectExtent l="0" t="0" r="0" b="0"/>
          <wp:wrapNone/>
          <wp:docPr id="811996435" name="Picture 81199643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300" cy="381001"/>
                  </a:xfrm>
                  <a:prstGeom prst="rect">
                    <a:avLst/>
                  </a:prstGeom>
                </pic:spPr>
              </pic:pic>
            </a:graphicData>
          </a:graphic>
          <wp14:sizeRelH relativeFrom="page">
            <wp14:pctWidth>0</wp14:pctWidth>
          </wp14:sizeRelH>
          <wp14:sizeRelV relativeFrom="page">
            <wp14:pctHeight>0</wp14:pctHeight>
          </wp14:sizeRelV>
        </wp:anchor>
      </w:drawing>
    </w:r>
  </w:p>
  <w:p w14:paraId="1CDEE65F" w14:textId="77777777" w:rsidR="00791F3E" w:rsidRPr="0079502D" w:rsidRDefault="00791F3E"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C7A91" w14:textId="77777777" w:rsidR="00791F3E" w:rsidRDefault="00791F3E" w:rsidP="00630193">
    <w:pPr>
      <w:pStyle w:val="Header"/>
      <w:tabs>
        <w:tab w:val="clear" w:pos="8562"/>
        <w:tab w:val="left" w:pos="5328"/>
      </w:tabs>
      <w:spacing w:after="1418"/>
      <w:jc w:val="center"/>
    </w:pPr>
  </w:p>
  <w:p w14:paraId="1A36D582" w14:textId="33BCD537" w:rsidR="00791F3E" w:rsidRPr="003376AC" w:rsidRDefault="00791F3E" w:rsidP="00CD4D4E">
    <w:pPr>
      <w:pStyle w:val="Header"/>
      <w:tabs>
        <w:tab w:val="clear" w:pos="8562"/>
        <w:tab w:val="left" w:pos="5328"/>
      </w:tabs>
      <w:spacing w:line="276" w:lineRule="auto"/>
      <w:rPr>
        <w:rFonts w:cs="Browallia New"/>
        <w:color w:val="4F2D7F"/>
        <w:sz w:val="40"/>
        <w:szCs w:val="40"/>
        <w:lang w:val="en-US" w:bidi="th-TH"/>
      </w:rPr>
    </w:pPr>
    <w:r w:rsidRPr="00551365">
      <w:rPr>
        <w:noProof/>
        <w:color w:val="auto"/>
        <w:sz w:val="24"/>
        <w:szCs w:val="24"/>
        <w:lang w:eastAsia="en-GB"/>
      </w:rPr>
      <mc:AlternateContent>
        <mc:Choice Requires="wps">
          <w:drawing>
            <wp:anchor distT="0" distB="0" distL="114300" distR="114300" simplePos="0" relativeHeight="251658240" behindDoc="1" locked="0" layoutInCell="1" allowOverlap="1" wp14:anchorId="57C68588" wp14:editId="12742860">
              <wp:simplePos x="0" y="0"/>
              <wp:positionH relativeFrom="page">
                <wp:posOffset>1209841</wp:posOffset>
              </wp:positionH>
              <wp:positionV relativeFrom="page">
                <wp:posOffset>485775</wp:posOffset>
              </wp:positionV>
              <wp:extent cx="3884295" cy="774065"/>
              <wp:effectExtent l="0" t="0" r="1905"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6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18"/>
                          </w:tblGrid>
                          <w:tr w:rsidR="00791F3E" w14:paraId="7282F971" w14:textId="77777777" w:rsidTr="00B24A45">
                            <w:tc>
                              <w:tcPr>
                                <w:tcW w:w="6117" w:type="dxa"/>
                              </w:tcPr>
                              <w:p w14:paraId="2FC6A3B4" w14:textId="77777777" w:rsidR="00791F3E" w:rsidRPr="00C06939" w:rsidRDefault="00791F3E">
                                <w:bookmarkStart w:id="3" w:name="Logo_tbl"/>
                                <w:r>
                                  <w:rPr>
                                    <w:noProof/>
                                    <w:lang w:eastAsia="en-GB"/>
                                  </w:rPr>
                                  <w:drawing>
                                    <wp:inline distT="0" distB="0" distL="0" distR="0" wp14:anchorId="7A22D68D" wp14:editId="258DD1A4">
                                      <wp:extent cx="1987300" cy="381001"/>
                                      <wp:effectExtent l="0" t="0" r="0" b="0"/>
                                      <wp:docPr id="1062066669" name="Picture 106206666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300" cy="381001"/>
                                              </a:xfrm>
                                              <a:prstGeom prst="rect">
                                                <a:avLst/>
                                              </a:prstGeom>
                                            </pic:spPr>
                                          </pic:pic>
                                        </a:graphicData>
                                      </a:graphic>
                                    </wp:inline>
                                  </w:drawing>
                                </w:r>
                              </w:p>
                            </w:tc>
                          </w:tr>
                          <w:bookmarkEnd w:id="3"/>
                        </w:tbl>
                        <w:p w14:paraId="25A86814" w14:textId="77777777" w:rsidR="00791F3E" w:rsidRDefault="00791F3E" w:rsidP="00B24A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68588" id="_x0000_t202" coordsize="21600,21600" o:spt="202" path="m,l,21600r21600,l21600,xe">
              <v:stroke joinstyle="miter"/>
              <v:path gradientshapeok="t" o:connecttype="rect"/>
            </v:shapetype>
            <v:shape id="Text Box 10" o:spid="_x0000_s1027" type="#_x0000_t202" style="position:absolute;margin-left:95.25pt;margin-top:38.25pt;width:305.85pt;height:6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" filled="f" stroked="f">
              <v:textbox inset="0,0,0,0">
                <w:txbxContent>
                  <w:tbl>
                    <w:tblPr>
                      <w:tblStyle w:val="TableGrid"/>
                      <w:tblW w:w="6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18"/>
                    </w:tblGrid>
                    <w:tr w:rsidR="00791F3E" w14:paraId="7282F971" w14:textId="77777777" w:rsidTr="00B24A45">
                      <w:tc>
                        <w:tcPr>
                          <w:tcW w:w="6117" w:type="dxa"/>
                        </w:tcPr>
                        <w:p w14:paraId="2FC6A3B4" w14:textId="77777777" w:rsidR="00791F3E" w:rsidRPr="00C06939" w:rsidRDefault="00791F3E">
                          <w:bookmarkStart w:id="4" w:name="Logo_tbl"/>
                          <w:r>
                            <w:rPr>
                              <w:noProof/>
                              <w:lang w:eastAsia="en-GB"/>
                            </w:rPr>
                            <w:drawing>
                              <wp:inline distT="0" distB="0" distL="0" distR="0" wp14:anchorId="7A22D68D" wp14:editId="258DD1A4">
                                <wp:extent cx="1987300" cy="381001"/>
                                <wp:effectExtent l="0" t="0" r="0" b="0"/>
                                <wp:docPr id="1062066669" name="Picture 106206666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300" cy="381001"/>
                                        </a:xfrm>
                                        <a:prstGeom prst="rect">
                                          <a:avLst/>
                                        </a:prstGeom>
                                      </pic:spPr>
                                    </pic:pic>
                                  </a:graphicData>
                                </a:graphic>
                              </wp:inline>
                            </w:drawing>
                          </w:r>
                        </w:p>
                      </w:tc>
                    </w:tr>
                    <w:bookmarkEnd w:id="4"/>
                  </w:tbl>
                  <w:p w14:paraId="25A86814" w14:textId="77777777" w:rsidR="00791F3E" w:rsidRDefault="00791F3E" w:rsidP="00B24A45"/>
                </w:txbxContent>
              </v:textbox>
              <w10:wrap anchorx="page" anchory="page"/>
            </v:shape>
          </w:pict>
        </mc:Fallback>
      </mc:AlternateContent>
    </w:r>
    <w:bookmarkStart w:id="5" w:name="Footer3_tbl"/>
    <w:bookmarkEnd w:id="5"/>
    <w:r w:rsidR="00805BDA" w:rsidRPr="00805BDA">
      <w:rPr>
        <w:rFonts w:ascii="Browallia New" w:hAnsi="Browallia New" w:cs="Browallia New"/>
        <w:bCs/>
        <w:color w:val="000000" w:themeColor="text1"/>
        <w:sz w:val="40"/>
        <w:szCs w:val="40"/>
        <w:lang w:bidi="th-TH"/>
      </w:rPr>
      <w:t>INDEPENDENT AUDITOR’S REPORT</w:t>
    </w:r>
  </w:p>
  <w:p w14:paraId="48AD7CD7" w14:textId="77777777" w:rsidR="00791F3E" w:rsidRDefault="00791F3E" w:rsidP="00D15EA5">
    <w:pPr>
      <w:pStyle w:val="Header"/>
    </w:pPr>
  </w:p>
  <w:p w14:paraId="429B1913" w14:textId="01F54DCA" w:rsidR="00791F3E" w:rsidRDefault="00791F3E" w:rsidP="00D961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09D4821"/>
    <w:multiLevelType w:val="hybridMultilevel"/>
    <w:tmpl w:val="04E872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35D1424"/>
    <w:multiLevelType w:val="hybridMultilevel"/>
    <w:tmpl w:val="C5AE208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6E92E30"/>
    <w:multiLevelType w:val="hybridMultilevel"/>
    <w:tmpl w:val="23F003D2"/>
    <w:lvl w:ilvl="0" w:tplc="8828F33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1DCF42EE"/>
    <w:multiLevelType w:val="hybridMultilevel"/>
    <w:tmpl w:val="F098AB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DEA5F86"/>
    <w:multiLevelType w:val="hybridMultilevel"/>
    <w:tmpl w:val="47026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22DBF"/>
    <w:multiLevelType w:val="hybridMultilevel"/>
    <w:tmpl w:val="7AB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C6E74"/>
    <w:multiLevelType w:val="hybridMultilevel"/>
    <w:tmpl w:val="67325AE6"/>
    <w:lvl w:ilvl="0" w:tplc="04090001">
      <w:start w:val="1"/>
      <w:numFmt w:val="bullet"/>
      <w:lvlText w:val=""/>
      <w:lvlJc w:val="left"/>
      <w:pPr>
        <w:ind w:left="3694" w:hanging="360"/>
      </w:pPr>
      <w:rPr>
        <w:rFonts w:ascii="Symbol" w:hAnsi="Symbol" w:hint="default"/>
      </w:rPr>
    </w:lvl>
    <w:lvl w:ilvl="1" w:tplc="04090003" w:tentative="1">
      <w:start w:val="1"/>
      <w:numFmt w:val="bullet"/>
      <w:lvlText w:val="o"/>
      <w:lvlJc w:val="left"/>
      <w:pPr>
        <w:ind w:left="4414" w:hanging="360"/>
      </w:pPr>
      <w:rPr>
        <w:rFonts w:ascii="Courier New" w:hAnsi="Courier New" w:cs="Courier New" w:hint="default"/>
      </w:rPr>
    </w:lvl>
    <w:lvl w:ilvl="2" w:tplc="04090005" w:tentative="1">
      <w:start w:val="1"/>
      <w:numFmt w:val="bullet"/>
      <w:lvlText w:val=""/>
      <w:lvlJc w:val="left"/>
      <w:pPr>
        <w:ind w:left="5134" w:hanging="360"/>
      </w:pPr>
      <w:rPr>
        <w:rFonts w:ascii="Wingdings" w:hAnsi="Wingdings" w:hint="default"/>
      </w:rPr>
    </w:lvl>
    <w:lvl w:ilvl="3" w:tplc="04090001" w:tentative="1">
      <w:start w:val="1"/>
      <w:numFmt w:val="bullet"/>
      <w:lvlText w:val=""/>
      <w:lvlJc w:val="left"/>
      <w:pPr>
        <w:ind w:left="5854" w:hanging="360"/>
      </w:pPr>
      <w:rPr>
        <w:rFonts w:ascii="Symbol" w:hAnsi="Symbol" w:hint="default"/>
      </w:rPr>
    </w:lvl>
    <w:lvl w:ilvl="4" w:tplc="04090003" w:tentative="1">
      <w:start w:val="1"/>
      <w:numFmt w:val="bullet"/>
      <w:lvlText w:val="o"/>
      <w:lvlJc w:val="left"/>
      <w:pPr>
        <w:ind w:left="6574" w:hanging="360"/>
      </w:pPr>
      <w:rPr>
        <w:rFonts w:ascii="Courier New" w:hAnsi="Courier New" w:cs="Courier New" w:hint="default"/>
      </w:rPr>
    </w:lvl>
    <w:lvl w:ilvl="5" w:tplc="04090005" w:tentative="1">
      <w:start w:val="1"/>
      <w:numFmt w:val="bullet"/>
      <w:lvlText w:val=""/>
      <w:lvlJc w:val="left"/>
      <w:pPr>
        <w:ind w:left="7294" w:hanging="360"/>
      </w:pPr>
      <w:rPr>
        <w:rFonts w:ascii="Wingdings" w:hAnsi="Wingdings" w:hint="default"/>
      </w:rPr>
    </w:lvl>
    <w:lvl w:ilvl="6" w:tplc="04090001" w:tentative="1">
      <w:start w:val="1"/>
      <w:numFmt w:val="bullet"/>
      <w:lvlText w:val=""/>
      <w:lvlJc w:val="left"/>
      <w:pPr>
        <w:ind w:left="8014" w:hanging="360"/>
      </w:pPr>
      <w:rPr>
        <w:rFonts w:ascii="Symbol" w:hAnsi="Symbol" w:hint="default"/>
      </w:rPr>
    </w:lvl>
    <w:lvl w:ilvl="7" w:tplc="04090003" w:tentative="1">
      <w:start w:val="1"/>
      <w:numFmt w:val="bullet"/>
      <w:lvlText w:val="o"/>
      <w:lvlJc w:val="left"/>
      <w:pPr>
        <w:ind w:left="8734" w:hanging="360"/>
      </w:pPr>
      <w:rPr>
        <w:rFonts w:ascii="Courier New" w:hAnsi="Courier New" w:cs="Courier New" w:hint="default"/>
      </w:rPr>
    </w:lvl>
    <w:lvl w:ilvl="8" w:tplc="04090005" w:tentative="1">
      <w:start w:val="1"/>
      <w:numFmt w:val="bullet"/>
      <w:lvlText w:val=""/>
      <w:lvlJc w:val="left"/>
      <w:pPr>
        <w:ind w:left="9454" w:hanging="360"/>
      </w:pPr>
      <w:rPr>
        <w:rFonts w:ascii="Wingdings" w:hAnsi="Wingdings" w:hint="default"/>
      </w:rPr>
    </w:lvl>
  </w:abstractNum>
  <w:abstractNum w:abstractNumId="16"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70D71"/>
    <w:multiLevelType w:val="hybridMultilevel"/>
    <w:tmpl w:val="B02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37CB220D"/>
    <w:multiLevelType w:val="hybridMultilevel"/>
    <w:tmpl w:val="F96E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976CF"/>
    <w:multiLevelType w:val="multilevel"/>
    <w:tmpl w:val="98FC98AC"/>
    <w:numStyleLink w:val="GTListNumber"/>
  </w:abstractNum>
  <w:abstractNum w:abstractNumId="21" w15:restartNumberingAfterBreak="0">
    <w:nsid w:val="3FF13359"/>
    <w:multiLevelType w:val="hybridMultilevel"/>
    <w:tmpl w:val="97A6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704B42"/>
    <w:multiLevelType w:val="hybridMultilevel"/>
    <w:tmpl w:val="BE72A1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7414B"/>
    <w:multiLevelType w:val="hybridMultilevel"/>
    <w:tmpl w:val="8F8095DA"/>
    <w:lvl w:ilvl="0" w:tplc="04090017">
      <w:start w:val="1"/>
      <w:numFmt w:val="lowerLetter"/>
      <w:lvlText w:val="%1)"/>
      <w:lvlJc w:val="left"/>
      <w:pPr>
        <w:ind w:left="305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9055E2"/>
    <w:multiLevelType w:val="hybridMultilevel"/>
    <w:tmpl w:val="04D2495C"/>
    <w:lvl w:ilvl="0" w:tplc="ED7C4CDA">
      <w:numFmt w:val="bullet"/>
      <w:lvlText w:val="•"/>
      <w:lvlJc w:val="left"/>
      <w:pPr>
        <w:ind w:left="1080" w:hanging="360"/>
      </w:pPr>
      <w:rPr>
        <w:rFonts w:ascii="Garamond" w:eastAsia="Times New Roman"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8E602A"/>
    <w:multiLevelType w:val="hybridMultilevel"/>
    <w:tmpl w:val="80F80A7E"/>
    <w:lvl w:ilvl="0" w:tplc="F54CF06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53D014C0"/>
    <w:multiLevelType w:val="hybridMultilevel"/>
    <w:tmpl w:val="68E46BA6"/>
    <w:lvl w:ilvl="0" w:tplc="D1AAE74A">
      <w:start w:val="1"/>
      <w:numFmt w:val="thaiLetters"/>
      <w:lvlText w:val="%1)"/>
      <w:lvlJc w:val="left"/>
      <w:pPr>
        <w:ind w:left="360" w:hanging="360"/>
      </w:pPr>
      <w:rPr>
        <w:rFonts w:hint="default"/>
        <w:i/>
        <w:color w:val="auto"/>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46126C"/>
    <w:multiLevelType w:val="hybridMultilevel"/>
    <w:tmpl w:val="67C2FCB6"/>
    <w:lvl w:ilvl="0" w:tplc="3AFE7F06">
      <w:start w:val="1"/>
      <w:numFmt w:val="thaiLetters"/>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DDB5E6E"/>
    <w:multiLevelType w:val="multilevel"/>
    <w:tmpl w:val="FAE6F968"/>
    <w:numStyleLink w:val="GTListBullet"/>
  </w:abstractNum>
  <w:abstractNum w:abstractNumId="30" w15:restartNumberingAfterBreak="0">
    <w:nsid w:val="5DF012A9"/>
    <w:multiLevelType w:val="hybridMultilevel"/>
    <w:tmpl w:val="A75295EA"/>
    <w:lvl w:ilvl="0" w:tplc="DAEC23C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2" w15:restartNumberingAfterBreak="0">
    <w:nsid w:val="63C004CE"/>
    <w:multiLevelType w:val="hybridMultilevel"/>
    <w:tmpl w:val="0B341A42"/>
    <w:lvl w:ilvl="0" w:tplc="9B8CE7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5415F0"/>
    <w:multiLevelType w:val="hybridMultilevel"/>
    <w:tmpl w:val="8F6222B0"/>
    <w:lvl w:ilvl="0" w:tplc="D1AAE74A">
      <w:start w:val="1"/>
      <w:numFmt w:val="thaiLetters"/>
      <w:lvlText w:val="%1)"/>
      <w:lvlJc w:val="left"/>
      <w:pPr>
        <w:ind w:left="360" w:hanging="360"/>
      </w:pPr>
      <w:rPr>
        <w:rFonts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661971"/>
    <w:multiLevelType w:val="hybridMultilevel"/>
    <w:tmpl w:val="959A9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41801A4"/>
    <w:multiLevelType w:val="hybridMultilevel"/>
    <w:tmpl w:val="0BE804E8"/>
    <w:lvl w:ilvl="0" w:tplc="ED7C4CDA">
      <w:numFmt w:val="bullet"/>
      <w:lvlText w:val="•"/>
      <w:lvlJc w:val="left"/>
      <w:pPr>
        <w:ind w:left="720" w:hanging="360"/>
      </w:pPr>
      <w:rPr>
        <w:rFonts w:ascii="Garamond" w:eastAsia="Times New Roman"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427B5"/>
    <w:multiLevelType w:val="hybridMultilevel"/>
    <w:tmpl w:val="CB04FBA4"/>
    <w:lvl w:ilvl="0" w:tplc="741E30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F5DF1"/>
    <w:multiLevelType w:val="hybridMultilevel"/>
    <w:tmpl w:val="A9B87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924C95"/>
    <w:multiLevelType w:val="multilevel"/>
    <w:tmpl w:val="0D561ACA"/>
    <w:numStyleLink w:val="GTNumberedHeadings"/>
  </w:abstractNum>
  <w:num w:numId="1" w16cid:durableId="619730774">
    <w:abstractNumId w:val="3"/>
  </w:num>
  <w:num w:numId="2" w16cid:durableId="2108576851">
    <w:abstractNumId w:val="2"/>
  </w:num>
  <w:num w:numId="3" w16cid:durableId="988090977">
    <w:abstractNumId w:val="1"/>
  </w:num>
  <w:num w:numId="4" w16cid:durableId="1767992742">
    <w:abstractNumId w:val="0"/>
  </w:num>
  <w:num w:numId="5" w16cid:durableId="1055815580">
    <w:abstractNumId w:val="9"/>
  </w:num>
  <w:num w:numId="6" w16cid:durableId="1464545678">
    <w:abstractNumId w:val="6"/>
  </w:num>
  <w:num w:numId="7" w16cid:durableId="1791969663">
    <w:abstractNumId w:val="18"/>
  </w:num>
  <w:num w:numId="8" w16cid:durableId="1701517591">
    <w:abstractNumId w:val="39"/>
  </w:num>
  <w:num w:numId="9" w16cid:durableId="2067756997">
    <w:abstractNumId w:val="6"/>
  </w:num>
  <w:num w:numId="10" w16cid:durableId="425687087">
    <w:abstractNumId w:val="31"/>
  </w:num>
  <w:num w:numId="11" w16cid:durableId="490756115">
    <w:abstractNumId w:val="26"/>
  </w:num>
  <w:num w:numId="12" w16cid:durableId="1253667580">
    <w:abstractNumId w:val="4"/>
  </w:num>
  <w:num w:numId="13" w16cid:durableId="1837184923">
    <w:abstractNumId w:val="11"/>
  </w:num>
  <w:num w:numId="14" w16cid:durableId="1724979736">
    <w:abstractNumId w:val="10"/>
  </w:num>
  <w:num w:numId="15" w16cid:durableId="419762312">
    <w:abstractNumId w:val="11"/>
  </w:num>
  <w:num w:numId="16" w16cid:durableId="1777097806">
    <w:abstractNumId w:val="29"/>
  </w:num>
  <w:num w:numId="17" w16cid:durableId="1957977236">
    <w:abstractNumId w:val="20"/>
  </w:num>
  <w:num w:numId="18" w16cid:durableId="772897827">
    <w:abstractNumId w:val="37"/>
  </w:num>
  <w:num w:numId="19" w16cid:durableId="55670817">
    <w:abstractNumId w:val="12"/>
  </w:num>
  <w:num w:numId="20" w16cid:durableId="888423361">
    <w:abstractNumId w:val="24"/>
  </w:num>
  <w:num w:numId="21" w16cid:durableId="266621723">
    <w:abstractNumId w:val="36"/>
  </w:num>
  <w:num w:numId="22" w16cid:durableId="630860990">
    <w:abstractNumId w:val="14"/>
  </w:num>
  <w:num w:numId="23" w16cid:durableId="803088063">
    <w:abstractNumId w:val="28"/>
  </w:num>
  <w:num w:numId="24" w16cid:durableId="260914958">
    <w:abstractNumId w:val="17"/>
  </w:num>
  <w:num w:numId="25" w16cid:durableId="1881821898">
    <w:abstractNumId w:val="33"/>
  </w:num>
  <w:num w:numId="26" w16cid:durableId="369382535">
    <w:abstractNumId w:val="32"/>
  </w:num>
  <w:num w:numId="27" w16cid:durableId="2043088580">
    <w:abstractNumId w:val="13"/>
  </w:num>
  <w:num w:numId="28" w16cid:durableId="1995454522">
    <w:abstractNumId w:val="21"/>
  </w:num>
  <w:num w:numId="29" w16cid:durableId="1929268801">
    <w:abstractNumId w:val="35"/>
  </w:num>
  <w:num w:numId="30" w16cid:durableId="1382560482">
    <w:abstractNumId w:val="34"/>
  </w:num>
  <w:num w:numId="31" w16cid:durableId="2125147092">
    <w:abstractNumId w:val="16"/>
  </w:num>
  <w:num w:numId="32" w16cid:durableId="216480545">
    <w:abstractNumId w:val="15"/>
  </w:num>
  <w:num w:numId="33" w16cid:durableId="2003770973">
    <w:abstractNumId w:val="25"/>
  </w:num>
  <w:num w:numId="34" w16cid:durableId="2077125730">
    <w:abstractNumId w:val="23"/>
  </w:num>
  <w:num w:numId="35" w16cid:durableId="314532150">
    <w:abstractNumId w:val="22"/>
  </w:num>
  <w:num w:numId="36" w16cid:durableId="2098865995">
    <w:abstractNumId w:val="7"/>
  </w:num>
  <w:num w:numId="37" w16cid:durableId="975834588">
    <w:abstractNumId w:val="27"/>
  </w:num>
  <w:num w:numId="38" w16cid:durableId="2016571614">
    <w:abstractNumId w:val="19"/>
  </w:num>
  <w:num w:numId="39" w16cid:durableId="286664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65850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2525943">
    <w:abstractNumId w:val="30"/>
  </w:num>
  <w:num w:numId="42" w16cid:durableId="373162332">
    <w:abstractNumId w:val="5"/>
  </w:num>
  <w:num w:numId="43" w16cid:durableId="37554970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086D"/>
    <w:rsid w:val="00000D7E"/>
    <w:rsid w:val="00002C05"/>
    <w:rsid w:val="00003AA8"/>
    <w:rsid w:val="000041E4"/>
    <w:rsid w:val="00004A04"/>
    <w:rsid w:val="00004B8D"/>
    <w:rsid w:val="00004D01"/>
    <w:rsid w:val="000050CD"/>
    <w:rsid w:val="00006F30"/>
    <w:rsid w:val="000074FA"/>
    <w:rsid w:val="0001033F"/>
    <w:rsid w:val="00010B7B"/>
    <w:rsid w:val="00010B9A"/>
    <w:rsid w:val="00010F78"/>
    <w:rsid w:val="00010F8C"/>
    <w:rsid w:val="00011826"/>
    <w:rsid w:val="00012393"/>
    <w:rsid w:val="00012860"/>
    <w:rsid w:val="000135E3"/>
    <w:rsid w:val="000139EE"/>
    <w:rsid w:val="00014057"/>
    <w:rsid w:val="00014E16"/>
    <w:rsid w:val="00015BE9"/>
    <w:rsid w:val="00015C9B"/>
    <w:rsid w:val="000162B0"/>
    <w:rsid w:val="00016A65"/>
    <w:rsid w:val="00016E75"/>
    <w:rsid w:val="000171A0"/>
    <w:rsid w:val="000178B2"/>
    <w:rsid w:val="00017C59"/>
    <w:rsid w:val="00017F79"/>
    <w:rsid w:val="00020041"/>
    <w:rsid w:val="0002052B"/>
    <w:rsid w:val="00020976"/>
    <w:rsid w:val="00021A22"/>
    <w:rsid w:val="00021CE9"/>
    <w:rsid w:val="00021CEA"/>
    <w:rsid w:val="0002263C"/>
    <w:rsid w:val="00022EC5"/>
    <w:rsid w:val="0002306B"/>
    <w:rsid w:val="00023536"/>
    <w:rsid w:val="00023660"/>
    <w:rsid w:val="00023E53"/>
    <w:rsid w:val="00023FD1"/>
    <w:rsid w:val="000246A6"/>
    <w:rsid w:val="0002522A"/>
    <w:rsid w:val="000268B2"/>
    <w:rsid w:val="00027444"/>
    <w:rsid w:val="00027BF3"/>
    <w:rsid w:val="0003023B"/>
    <w:rsid w:val="00031D17"/>
    <w:rsid w:val="00031F4A"/>
    <w:rsid w:val="00032939"/>
    <w:rsid w:val="00032DE0"/>
    <w:rsid w:val="00032E9C"/>
    <w:rsid w:val="00032EC0"/>
    <w:rsid w:val="00035CF5"/>
    <w:rsid w:val="000363F8"/>
    <w:rsid w:val="000367A2"/>
    <w:rsid w:val="000371D7"/>
    <w:rsid w:val="00037568"/>
    <w:rsid w:val="00037AF3"/>
    <w:rsid w:val="00040A6C"/>
    <w:rsid w:val="00040C06"/>
    <w:rsid w:val="000413A6"/>
    <w:rsid w:val="0004197E"/>
    <w:rsid w:val="00042BFF"/>
    <w:rsid w:val="00042DDD"/>
    <w:rsid w:val="00043DAF"/>
    <w:rsid w:val="00044ACE"/>
    <w:rsid w:val="0004550E"/>
    <w:rsid w:val="000455FE"/>
    <w:rsid w:val="000469AA"/>
    <w:rsid w:val="00047870"/>
    <w:rsid w:val="000478A7"/>
    <w:rsid w:val="00050042"/>
    <w:rsid w:val="00050381"/>
    <w:rsid w:val="00050B7F"/>
    <w:rsid w:val="00050E9E"/>
    <w:rsid w:val="00051C7D"/>
    <w:rsid w:val="0005222B"/>
    <w:rsid w:val="00052614"/>
    <w:rsid w:val="00053BB0"/>
    <w:rsid w:val="00053FFC"/>
    <w:rsid w:val="0005401B"/>
    <w:rsid w:val="000543B2"/>
    <w:rsid w:val="00055391"/>
    <w:rsid w:val="0005653D"/>
    <w:rsid w:val="00057F86"/>
    <w:rsid w:val="0006075E"/>
    <w:rsid w:val="00060B49"/>
    <w:rsid w:val="00060F79"/>
    <w:rsid w:val="00061305"/>
    <w:rsid w:val="00062052"/>
    <w:rsid w:val="00062234"/>
    <w:rsid w:val="0006285C"/>
    <w:rsid w:val="0006599D"/>
    <w:rsid w:val="00066D0E"/>
    <w:rsid w:val="000671F6"/>
    <w:rsid w:val="00067E0B"/>
    <w:rsid w:val="00067E31"/>
    <w:rsid w:val="00067F9E"/>
    <w:rsid w:val="00070D25"/>
    <w:rsid w:val="000717CF"/>
    <w:rsid w:val="00071830"/>
    <w:rsid w:val="0007218A"/>
    <w:rsid w:val="000723F7"/>
    <w:rsid w:val="0007241C"/>
    <w:rsid w:val="00073839"/>
    <w:rsid w:val="00074485"/>
    <w:rsid w:val="00077B19"/>
    <w:rsid w:val="00080448"/>
    <w:rsid w:val="00081B05"/>
    <w:rsid w:val="000824B4"/>
    <w:rsid w:val="000828F1"/>
    <w:rsid w:val="00082AB4"/>
    <w:rsid w:val="00082F59"/>
    <w:rsid w:val="00083739"/>
    <w:rsid w:val="00084CEB"/>
    <w:rsid w:val="00084EA9"/>
    <w:rsid w:val="0008536B"/>
    <w:rsid w:val="00086930"/>
    <w:rsid w:val="0008789B"/>
    <w:rsid w:val="000905D1"/>
    <w:rsid w:val="000908B9"/>
    <w:rsid w:val="0009093A"/>
    <w:rsid w:val="00090CDE"/>
    <w:rsid w:val="00090EA3"/>
    <w:rsid w:val="0009109A"/>
    <w:rsid w:val="000914D5"/>
    <w:rsid w:val="00091A51"/>
    <w:rsid w:val="00091FDC"/>
    <w:rsid w:val="000940E8"/>
    <w:rsid w:val="00094333"/>
    <w:rsid w:val="000945E3"/>
    <w:rsid w:val="00095F96"/>
    <w:rsid w:val="0009694B"/>
    <w:rsid w:val="00096A86"/>
    <w:rsid w:val="00096CAA"/>
    <w:rsid w:val="00096E0F"/>
    <w:rsid w:val="00097FAB"/>
    <w:rsid w:val="000A03E5"/>
    <w:rsid w:val="000A0801"/>
    <w:rsid w:val="000A0EF5"/>
    <w:rsid w:val="000A11A9"/>
    <w:rsid w:val="000A1F82"/>
    <w:rsid w:val="000A249B"/>
    <w:rsid w:val="000A3463"/>
    <w:rsid w:val="000A5D13"/>
    <w:rsid w:val="000A646B"/>
    <w:rsid w:val="000A669D"/>
    <w:rsid w:val="000A6AEB"/>
    <w:rsid w:val="000A6C90"/>
    <w:rsid w:val="000A6E0B"/>
    <w:rsid w:val="000A7553"/>
    <w:rsid w:val="000A7AA5"/>
    <w:rsid w:val="000B023A"/>
    <w:rsid w:val="000B093F"/>
    <w:rsid w:val="000B0A07"/>
    <w:rsid w:val="000B1E85"/>
    <w:rsid w:val="000B2DA6"/>
    <w:rsid w:val="000B3EC4"/>
    <w:rsid w:val="000B4B83"/>
    <w:rsid w:val="000B60C9"/>
    <w:rsid w:val="000B65E3"/>
    <w:rsid w:val="000B6D86"/>
    <w:rsid w:val="000B7090"/>
    <w:rsid w:val="000B7419"/>
    <w:rsid w:val="000C2FD3"/>
    <w:rsid w:val="000C31B5"/>
    <w:rsid w:val="000C3526"/>
    <w:rsid w:val="000C3E1B"/>
    <w:rsid w:val="000C4126"/>
    <w:rsid w:val="000C54C9"/>
    <w:rsid w:val="000C5700"/>
    <w:rsid w:val="000C625D"/>
    <w:rsid w:val="000C62F1"/>
    <w:rsid w:val="000D0BA7"/>
    <w:rsid w:val="000D0EAD"/>
    <w:rsid w:val="000D176F"/>
    <w:rsid w:val="000D213F"/>
    <w:rsid w:val="000D2328"/>
    <w:rsid w:val="000D2E12"/>
    <w:rsid w:val="000D41B5"/>
    <w:rsid w:val="000D4D04"/>
    <w:rsid w:val="000D6070"/>
    <w:rsid w:val="000D6405"/>
    <w:rsid w:val="000E01F7"/>
    <w:rsid w:val="000E068D"/>
    <w:rsid w:val="000E079A"/>
    <w:rsid w:val="000E0C0C"/>
    <w:rsid w:val="000E0DFC"/>
    <w:rsid w:val="000E0DFD"/>
    <w:rsid w:val="000E19ED"/>
    <w:rsid w:val="000E2081"/>
    <w:rsid w:val="000E23F7"/>
    <w:rsid w:val="000E3219"/>
    <w:rsid w:val="000E4AF6"/>
    <w:rsid w:val="000E4EC4"/>
    <w:rsid w:val="000E52CE"/>
    <w:rsid w:val="000E562E"/>
    <w:rsid w:val="000E5641"/>
    <w:rsid w:val="000E774E"/>
    <w:rsid w:val="000E7F2F"/>
    <w:rsid w:val="000E7FA9"/>
    <w:rsid w:val="000F0E7B"/>
    <w:rsid w:val="000F0FE8"/>
    <w:rsid w:val="000F1164"/>
    <w:rsid w:val="000F1C7B"/>
    <w:rsid w:val="000F246B"/>
    <w:rsid w:val="000F354C"/>
    <w:rsid w:val="000F3AAB"/>
    <w:rsid w:val="000F43E8"/>
    <w:rsid w:val="000F44AD"/>
    <w:rsid w:val="000F45B8"/>
    <w:rsid w:val="000F5235"/>
    <w:rsid w:val="000F6174"/>
    <w:rsid w:val="000F638C"/>
    <w:rsid w:val="000F6D81"/>
    <w:rsid w:val="000F6E25"/>
    <w:rsid w:val="000F732C"/>
    <w:rsid w:val="000F7AEE"/>
    <w:rsid w:val="001001DD"/>
    <w:rsid w:val="00100CA8"/>
    <w:rsid w:val="00100D61"/>
    <w:rsid w:val="001011DF"/>
    <w:rsid w:val="00101376"/>
    <w:rsid w:val="00101926"/>
    <w:rsid w:val="00101AE2"/>
    <w:rsid w:val="00102830"/>
    <w:rsid w:val="00102B57"/>
    <w:rsid w:val="00102B69"/>
    <w:rsid w:val="00102FE5"/>
    <w:rsid w:val="00105044"/>
    <w:rsid w:val="001059C7"/>
    <w:rsid w:val="00105FE1"/>
    <w:rsid w:val="00105FE3"/>
    <w:rsid w:val="0010668F"/>
    <w:rsid w:val="00106B71"/>
    <w:rsid w:val="00107133"/>
    <w:rsid w:val="00107151"/>
    <w:rsid w:val="001075DA"/>
    <w:rsid w:val="00110657"/>
    <w:rsid w:val="001110EA"/>
    <w:rsid w:val="0011182A"/>
    <w:rsid w:val="00112814"/>
    <w:rsid w:val="00112B69"/>
    <w:rsid w:val="00114E68"/>
    <w:rsid w:val="0011565D"/>
    <w:rsid w:val="00122136"/>
    <w:rsid w:val="001229C4"/>
    <w:rsid w:val="0012666E"/>
    <w:rsid w:val="001268CB"/>
    <w:rsid w:val="00126BCB"/>
    <w:rsid w:val="00127150"/>
    <w:rsid w:val="00127156"/>
    <w:rsid w:val="0013010D"/>
    <w:rsid w:val="0013038F"/>
    <w:rsid w:val="00130499"/>
    <w:rsid w:val="00130F96"/>
    <w:rsid w:val="0013164E"/>
    <w:rsid w:val="001316D3"/>
    <w:rsid w:val="00131B06"/>
    <w:rsid w:val="00132272"/>
    <w:rsid w:val="001327FD"/>
    <w:rsid w:val="00132FD4"/>
    <w:rsid w:val="001340DD"/>
    <w:rsid w:val="00134B1D"/>
    <w:rsid w:val="00134EF1"/>
    <w:rsid w:val="001362EF"/>
    <w:rsid w:val="00136A1D"/>
    <w:rsid w:val="001406CE"/>
    <w:rsid w:val="00140BC7"/>
    <w:rsid w:val="00140D0D"/>
    <w:rsid w:val="001410DE"/>
    <w:rsid w:val="00141DC3"/>
    <w:rsid w:val="00143A0B"/>
    <w:rsid w:val="00143BDE"/>
    <w:rsid w:val="00143DAD"/>
    <w:rsid w:val="00144271"/>
    <w:rsid w:val="001460F5"/>
    <w:rsid w:val="0014667A"/>
    <w:rsid w:val="00146E21"/>
    <w:rsid w:val="001504C4"/>
    <w:rsid w:val="001506F0"/>
    <w:rsid w:val="00150824"/>
    <w:rsid w:val="00150A51"/>
    <w:rsid w:val="00150F4B"/>
    <w:rsid w:val="001510E5"/>
    <w:rsid w:val="0015197D"/>
    <w:rsid w:val="00151A0B"/>
    <w:rsid w:val="00151D9A"/>
    <w:rsid w:val="001533D3"/>
    <w:rsid w:val="00154B78"/>
    <w:rsid w:val="00154C22"/>
    <w:rsid w:val="001554CD"/>
    <w:rsid w:val="00155A91"/>
    <w:rsid w:val="00156307"/>
    <w:rsid w:val="001565A8"/>
    <w:rsid w:val="0015731D"/>
    <w:rsid w:val="00157988"/>
    <w:rsid w:val="00157E1A"/>
    <w:rsid w:val="00157FFC"/>
    <w:rsid w:val="00160115"/>
    <w:rsid w:val="00160461"/>
    <w:rsid w:val="001613E2"/>
    <w:rsid w:val="00161796"/>
    <w:rsid w:val="001617BF"/>
    <w:rsid w:val="0016373B"/>
    <w:rsid w:val="0016459D"/>
    <w:rsid w:val="001645DD"/>
    <w:rsid w:val="001657C7"/>
    <w:rsid w:val="00166826"/>
    <w:rsid w:val="00166E0C"/>
    <w:rsid w:val="00167017"/>
    <w:rsid w:val="00167E73"/>
    <w:rsid w:val="00171074"/>
    <w:rsid w:val="00171422"/>
    <w:rsid w:val="00171C0B"/>
    <w:rsid w:val="00171F52"/>
    <w:rsid w:val="00171FF5"/>
    <w:rsid w:val="001727EE"/>
    <w:rsid w:val="0017281C"/>
    <w:rsid w:val="00172AB9"/>
    <w:rsid w:val="00172F9F"/>
    <w:rsid w:val="00174E18"/>
    <w:rsid w:val="0017565C"/>
    <w:rsid w:val="00175716"/>
    <w:rsid w:val="00176994"/>
    <w:rsid w:val="00176B7B"/>
    <w:rsid w:val="00177042"/>
    <w:rsid w:val="00177481"/>
    <w:rsid w:val="00177993"/>
    <w:rsid w:val="00177AF9"/>
    <w:rsid w:val="00177B83"/>
    <w:rsid w:val="00180D3B"/>
    <w:rsid w:val="00180FB4"/>
    <w:rsid w:val="001818EC"/>
    <w:rsid w:val="001823C3"/>
    <w:rsid w:val="00182746"/>
    <w:rsid w:val="00182D43"/>
    <w:rsid w:val="00182DCE"/>
    <w:rsid w:val="00183591"/>
    <w:rsid w:val="001836E4"/>
    <w:rsid w:val="00183841"/>
    <w:rsid w:val="00184B68"/>
    <w:rsid w:val="00184E22"/>
    <w:rsid w:val="0018586A"/>
    <w:rsid w:val="00185AD9"/>
    <w:rsid w:val="001861E0"/>
    <w:rsid w:val="00186350"/>
    <w:rsid w:val="00186BC0"/>
    <w:rsid w:val="00187B8F"/>
    <w:rsid w:val="00190B8B"/>
    <w:rsid w:val="00190C74"/>
    <w:rsid w:val="00190EA4"/>
    <w:rsid w:val="0019196B"/>
    <w:rsid w:val="00191CE8"/>
    <w:rsid w:val="0019210D"/>
    <w:rsid w:val="00192B4F"/>
    <w:rsid w:val="00192C8F"/>
    <w:rsid w:val="0019344B"/>
    <w:rsid w:val="00193C12"/>
    <w:rsid w:val="00194CF7"/>
    <w:rsid w:val="0019599C"/>
    <w:rsid w:val="00195B54"/>
    <w:rsid w:val="001960C1"/>
    <w:rsid w:val="00196C0D"/>
    <w:rsid w:val="0019776B"/>
    <w:rsid w:val="001A0BEB"/>
    <w:rsid w:val="001A2202"/>
    <w:rsid w:val="001A29C2"/>
    <w:rsid w:val="001A2B3F"/>
    <w:rsid w:val="001A314F"/>
    <w:rsid w:val="001A3BFB"/>
    <w:rsid w:val="001A3C20"/>
    <w:rsid w:val="001A4627"/>
    <w:rsid w:val="001A4C3B"/>
    <w:rsid w:val="001A4E0A"/>
    <w:rsid w:val="001A5481"/>
    <w:rsid w:val="001A5F40"/>
    <w:rsid w:val="001B0987"/>
    <w:rsid w:val="001B1232"/>
    <w:rsid w:val="001B166B"/>
    <w:rsid w:val="001B198C"/>
    <w:rsid w:val="001B2487"/>
    <w:rsid w:val="001B3249"/>
    <w:rsid w:val="001B3A5A"/>
    <w:rsid w:val="001B4914"/>
    <w:rsid w:val="001B5442"/>
    <w:rsid w:val="001B5865"/>
    <w:rsid w:val="001B61F2"/>
    <w:rsid w:val="001B6BE6"/>
    <w:rsid w:val="001B7388"/>
    <w:rsid w:val="001B7C2E"/>
    <w:rsid w:val="001B7EC8"/>
    <w:rsid w:val="001C0999"/>
    <w:rsid w:val="001C1272"/>
    <w:rsid w:val="001C144E"/>
    <w:rsid w:val="001C2716"/>
    <w:rsid w:val="001C2B9B"/>
    <w:rsid w:val="001C39F9"/>
    <w:rsid w:val="001C4714"/>
    <w:rsid w:val="001C5497"/>
    <w:rsid w:val="001C5E63"/>
    <w:rsid w:val="001C7104"/>
    <w:rsid w:val="001D0EA7"/>
    <w:rsid w:val="001D10B6"/>
    <w:rsid w:val="001D13FC"/>
    <w:rsid w:val="001D1E0F"/>
    <w:rsid w:val="001D2302"/>
    <w:rsid w:val="001D2E11"/>
    <w:rsid w:val="001D3015"/>
    <w:rsid w:val="001D4A90"/>
    <w:rsid w:val="001D4D2C"/>
    <w:rsid w:val="001D5622"/>
    <w:rsid w:val="001D581B"/>
    <w:rsid w:val="001D67EE"/>
    <w:rsid w:val="001D6C73"/>
    <w:rsid w:val="001D6C90"/>
    <w:rsid w:val="001D7BB3"/>
    <w:rsid w:val="001E04C6"/>
    <w:rsid w:val="001E091D"/>
    <w:rsid w:val="001E0EC7"/>
    <w:rsid w:val="001E117C"/>
    <w:rsid w:val="001E12A6"/>
    <w:rsid w:val="001E1EEF"/>
    <w:rsid w:val="001E4040"/>
    <w:rsid w:val="001E456B"/>
    <w:rsid w:val="001E498F"/>
    <w:rsid w:val="001E4C9A"/>
    <w:rsid w:val="001E4CBC"/>
    <w:rsid w:val="001E4DF2"/>
    <w:rsid w:val="001E52E6"/>
    <w:rsid w:val="001E62F3"/>
    <w:rsid w:val="001E6CAF"/>
    <w:rsid w:val="001E7258"/>
    <w:rsid w:val="001E76EA"/>
    <w:rsid w:val="001E7AED"/>
    <w:rsid w:val="001E7D9B"/>
    <w:rsid w:val="001F003D"/>
    <w:rsid w:val="001F03C0"/>
    <w:rsid w:val="001F1038"/>
    <w:rsid w:val="001F2109"/>
    <w:rsid w:val="001F2BD0"/>
    <w:rsid w:val="001F4027"/>
    <w:rsid w:val="001F41AE"/>
    <w:rsid w:val="001F6012"/>
    <w:rsid w:val="001F64C2"/>
    <w:rsid w:val="001F761A"/>
    <w:rsid w:val="001F7FE8"/>
    <w:rsid w:val="0020030B"/>
    <w:rsid w:val="0020032C"/>
    <w:rsid w:val="00201157"/>
    <w:rsid w:val="00201FA9"/>
    <w:rsid w:val="002029F7"/>
    <w:rsid w:val="00203D1A"/>
    <w:rsid w:val="00203ECF"/>
    <w:rsid w:val="00204B0B"/>
    <w:rsid w:val="00205B2F"/>
    <w:rsid w:val="00206244"/>
    <w:rsid w:val="002064AE"/>
    <w:rsid w:val="00207DFC"/>
    <w:rsid w:val="002100D1"/>
    <w:rsid w:val="0021044E"/>
    <w:rsid w:val="002106B9"/>
    <w:rsid w:val="002108D6"/>
    <w:rsid w:val="002108FC"/>
    <w:rsid w:val="00210D5E"/>
    <w:rsid w:val="0021103B"/>
    <w:rsid w:val="00211781"/>
    <w:rsid w:val="00211A44"/>
    <w:rsid w:val="0021265C"/>
    <w:rsid w:val="0021278E"/>
    <w:rsid w:val="00213D1E"/>
    <w:rsid w:val="00213E21"/>
    <w:rsid w:val="00213E82"/>
    <w:rsid w:val="002142C1"/>
    <w:rsid w:val="0021628A"/>
    <w:rsid w:val="00216648"/>
    <w:rsid w:val="00216B57"/>
    <w:rsid w:val="00216EDC"/>
    <w:rsid w:val="00217227"/>
    <w:rsid w:val="00217484"/>
    <w:rsid w:val="0022210D"/>
    <w:rsid w:val="0022288D"/>
    <w:rsid w:val="0022372A"/>
    <w:rsid w:val="00223E02"/>
    <w:rsid w:val="00225144"/>
    <w:rsid w:val="0022518C"/>
    <w:rsid w:val="00225293"/>
    <w:rsid w:val="002310B0"/>
    <w:rsid w:val="002324F2"/>
    <w:rsid w:val="002338F8"/>
    <w:rsid w:val="002358F3"/>
    <w:rsid w:val="0023695D"/>
    <w:rsid w:val="002375D1"/>
    <w:rsid w:val="002378DD"/>
    <w:rsid w:val="002379CE"/>
    <w:rsid w:val="00237A7E"/>
    <w:rsid w:val="00237FBC"/>
    <w:rsid w:val="00240B0B"/>
    <w:rsid w:val="00240F81"/>
    <w:rsid w:val="00241690"/>
    <w:rsid w:val="00241F16"/>
    <w:rsid w:val="0024241D"/>
    <w:rsid w:val="00242C67"/>
    <w:rsid w:val="00244119"/>
    <w:rsid w:val="0024436B"/>
    <w:rsid w:val="00244D57"/>
    <w:rsid w:val="00244E98"/>
    <w:rsid w:val="002451E3"/>
    <w:rsid w:val="00246316"/>
    <w:rsid w:val="0024669F"/>
    <w:rsid w:val="00246B04"/>
    <w:rsid w:val="002478F6"/>
    <w:rsid w:val="00247969"/>
    <w:rsid w:val="00250457"/>
    <w:rsid w:val="00250C82"/>
    <w:rsid w:val="002514D4"/>
    <w:rsid w:val="0025215E"/>
    <w:rsid w:val="0025338B"/>
    <w:rsid w:val="00253582"/>
    <w:rsid w:val="00253C13"/>
    <w:rsid w:val="00253F6B"/>
    <w:rsid w:val="00254007"/>
    <w:rsid w:val="002547C7"/>
    <w:rsid w:val="00254CEC"/>
    <w:rsid w:val="0025770C"/>
    <w:rsid w:val="00260340"/>
    <w:rsid w:val="00260915"/>
    <w:rsid w:val="00260F3B"/>
    <w:rsid w:val="002612B6"/>
    <w:rsid w:val="0026138F"/>
    <w:rsid w:val="0026182A"/>
    <w:rsid w:val="00261EB4"/>
    <w:rsid w:val="00262AC3"/>
    <w:rsid w:val="00262B68"/>
    <w:rsid w:val="00263DE6"/>
    <w:rsid w:val="00264845"/>
    <w:rsid w:val="00267B43"/>
    <w:rsid w:val="00270485"/>
    <w:rsid w:val="00270E38"/>
    <w:rsid w:val="002717E2"/>
    <w:rsid w:val="002717F2"/>
    <w:rsid w:val="002740F3"/>
    <w:rsid w:val="00275B66"/>
    <w:rsid w:val="00275C01"/>
    <w:rsid w:val="00275F1A"/>
    <w:rsid w:val="0027659C"/>
    <w:rsid w:val="002765E2"/>
    <w:rsid w:val="002769B0"/>
    <w:rsid w:val="00277C0A"/>
    <w:rsid w:val="00277DBB"/>
    <w:rsid w:val="00277EBE"/>
    <w:rsid w:val="00280186"/>
    <w:rsid w:val="00282E07"/>
    <w:rsid w:val="002834BA"/>
    <w:rsid w:val="00283539"/>
    <w:rsid w:val="002838FB"/>
    <w:rsid w:val="00283911"/>
    <w:rsid w:val="002845BF"/>
    <w:rsid w:val="00284874"/>
    <w:rsid w:val="00284A2C"/>
    <w:rsid w:val="00284A5E"/>
    <w:rsid w:val="00285249"/>
    <w:rsid w:val="002857D1"/>
    <w:rsid w:val="00285823"/>
    <w:rsid w:val="0028619F"/>
    <w:rsid w:val="00286BAC"/>
    <w:rsid w:val="00290DDC"/>
    <w:rsid w:val="00291A2E"/>
    <w:rsid w:val="00291DEE"/>
    <w:rsid w:val="00292755"/>
    <w:rsid w:val="00293858"/>
    <w:rsid w:val="0029407F"/>
    <w:rsid w:val="002957B6"/>
    <w:rsid w:val="00295DAC"/>
    <w:rsid w:val="002963FC"/>
    <w:rsid w:val="0029698D"/>
    <w:rsid w:val="00297488"/>
    <w:rsid w:val="00297BB8"/>
    <w:rsid w:val="002A048F"/>
    <w:rsid w:val="002A153D"/>
    <w:rsid w:val="002A1A12"/>
    <w:rsid w:val="002A20EA"/>
    <w:rsid w:val="002A252E"/>
    <w:rsid w:val="002A2DDB"/>
    <w:rsid w:val="002A2DF4"/>
    <w:rsid w:val="002A545B"/>
    <w:rsid w:val="002A6D6D"/>
    <w:rsid w:val="002A7072"/>
    <w:rsid w:val="002A7427"/>
    <w:rsid w:val="002B037C"/>
    <w:rsid w:val="002B0E56"/>
    <w:rsid w:val="002B147C"/>
    <w:rsid w:val="002B248B"/>
    <w:rsid w:val="002B2BA2"/>
    <w:rsid w:val="002B2C53"/>
    <w:rsid w:val="002B3D08"/>
    <w:rsid w:val="002B4327"/>
    <w:rsid w:val="002B520D"/>
    <w:rsid w:val="002B5287"/>
    <w:rsid w:val="002B52E1"/>
    <w:rsid w:val="002B54B4"/>
    <w:rsid w:val="002B5A4A"/>
    <w:rsid w:val="002B5ADB"/>
    <w:rsid w:val="002B5AF1"/>
    <w:rsid w:val="002B5BFB"/>
    <w:rsid w:val="002B716F"/>
    <w:rsid w:val="002B793A"/>
    <w:rsid w:val="002C0BE3"/>
    <w:rsid w:val="002C127F"/>
    <w:rsid w:val="002C12F8"/>
    <w:rsid w:val="002C2357"/>
    <w:rsid w:val="002C2931"/>
    <w:rsid w:val="002C2B43"/>
    <w:rsid w:val="002C4DFC"/>
    <w:rsid w:val="002C61EC"/>
    <w:rsid w:val="002C623D"/>
    <w:rsid w:val="002C6936"/>
    <w:rsid w:val="002C6D7E"/>
    <w:rsid w:val="002C6E77"/>
    <w:rsid w:val="002C710D"/>
    <w:rsid w:val="002C75F6"/>
    <w:rsid w:val="002C76A6"/>
    <w:rsid w:val="002C78B1"/>
    <w:rsid w:val="002D0813"/>
    <w:rsid w:val="002D1FB4"/>
    <w:rsid w:val="002D32E4"/>
    <w:rsid w:val="002D4E6E"/>
    <w:rsid w:val="002D57D7"/>
    <w:rsid w:val="002D5A0F"/>
    <w:rsid w:val="002D6A6F"/>
    <w:rsid w:val="002D6E25"/>
    <w:rsid w:val="002E02F4"/>
    <w:rsid w:val="002E1501"/>
    <w:rsid w:val="002E19D1"/>
    <w:rsid w:val="002E1EB4"/>
    <w:rsid w:val="002E23A0"/>
    <w:rsid w:val="002E2B9A"/>
    <w:rsid w:val="002E4D03"/>
    <w:rsid w:val="002E5ACA"/>
    <w:rsid w:val="002E6228"/>
    <w:rsid w:val="002E67F8"/>
    <w:rsid w:val="002E68D2"/>
    <w:rsid w:val="002E68E4"/>
    <w:rsid w:val="002E6CBA"/>
    <w:rsid w:val="002E702B"/>
    <w:rsid w:val="002E76A5"/>
    <w:rsid w:val="002E7F1E"/>
    <w:rsid w:val="002F01FF"/>
    <w:rsid w:val="002F0FC4"/>
    <w:rsid w:val="002F15EB"/>
    <w:rsid w:val="002F266B"/>
    <w:rsid w:val="002F2DEB"/>
    <w:rsid w:val="002F2F7E"/>
    <w:rsid w:val="002F33B7"/>
    <w:rsid w:val="002F3903"/>
    <w:rsid w:val="002F39EB"/>
    <w:rsid w:val="002F4A52"/>
    <w:rsid w:val="002F4B71"/>
    <w:rsid w:val="002F4DF5"/>
    <w:rsid w:val="002F53F1"/>
    <w:rsid w:val="002F54B3"/>
    <w:rsid w:val="002F68F0"/>
    <w:rsid w:val="002F7D90"/>
    <w:rsid w:val="0030026A"/>
    <w:rsid w:val="0030061D"/>
    <w:rsid w:val="003019A4"/>
    <w:rsid w:val="003029D7"/>
    <w:rsid w:val="003029F3"/>
    <w:rsid w:val="00303C18"/>
    <w:rsid w:val="00303CB4"/>
    <w:rsid w:val="003043A7"/>
    <w:rsid w:val="00304D9E"/>
    <w:rsid w:val="00305173"/>
    <w:rsid w:val="00306408"/>
    <w:rsid w:val="003064D5"/>
    <w:rsid w:val="003068C0"/>
    <w:rsid w:val="00307A9E"/>
    <w:rsid w:val="003102A9"/>
    <w:rsid w:val="00310499"/>
    <w:rsid w:val="0031149E"/>
    <w:rsid w:val="003124CC"/>
    <w:rsid w:val="00312615"/>
    <w:rsid w:val="00312EC0"/>
    <w:rsid w:val="0031335C"/>
    <w:rsid w:val="003135D4"/>
    <w:rsid w:val="00313605"/>
    <w:rsid w:val="00314A40"/>
    <w:rsid w:val="003152AA"/>
    <w:rsid w:val="00315B60"/>
    <w:rsid w:val="003160D8"/>
    <w:rsid w:val="00316AA6"/>
    <w:rsid w:val="003170E7"/>
    <w:rsid w:val="00317804"/>
    <w:rsid w:val="00317E35"/>
    <w:rsid w:val="00321A76"/>
    <w:rsid w:val="00321D8B"/>
    <w:rsid w:val="00322D83"/>
    <w:rsid w:val="003244C0"/>
    <w:rsid w:val="003249D0"/>
    <w:rsid w:val="003250A9"/>
    <w:rsid w:val="0033000E"/>
    <w:rsid w:val="003305E3"/>
    <w:rsid w:val="00330AA1"/>
    <w:rsid w:val="0033112F"/>
    <w:rsid w:val="003315C6"/>
    <w:rsid w:val="00331E91"/>
    <w:rsid w:val="00332DEF"/>
    <w:rsid w:val="00335E5B"/>
    <w:rsid w:val="0033624F"/>
    <w:rsid w:val="003376AC"/>
    <w:rsid w:val="003377C6"/>
    <w:rsid w:val="00340360"/>
    <w:rsid w:val="0034147F"/>
    <w:rsid w:val="0034199D"/>
    <w:rsid w:val="00341A38"/>
    <w:rsid w:val="00342220"/>
    <w:rsid w:val="0034264B"/>
    <w:rsid w:val="00342BCF"/>
    <w:rsid w:val="00342FA3"/>
    <w:rsid w:val="003430F9"/>
    <w:rsid w:val="00343A95"/>
    <w:rsid w:val="003441A9"/>
    <w:rsid w:val="003442D9"/>
    <w:rsid w:val="003446EB"/>
    <w:rsid w:val="00345A8F"/>
    <w:rsid w:val="00346F04"/>
    <w:rsid w:val="00346FD6"/>
    <w:rsid w:val="0034703A"/>
    <w:rsid w:val="00347B50"/>
    <w:rsid w:val="00350681"/>
    <w:rsid w:val="00350AEB"/>
    <w:rsid w:val="003511AD"/>
    <w:rsid w:val="00351EB2"/>
    <w:rsid w:val="00351FD3"/>
    <w:rsid w:val="003528D4"/>
    <w:rsid w:val="00353CC6"/>
    <w:rsid w:val="00354F5D"/>
    <w:rsid w:val="00356A35"/>
    <w:rsid w:val="003579FF"/>
    <w:rsid w:val="0036042C"/>
    <w:rsid w:val="00360880"/>
    <w:rsid w:val="003615CA"/>
    <w:rsid w:val="00361FB3"/>
    <w:rsid w:val="00362AE7"/>
    <w:rsid w:val="003631A3"/>
    <w:rsid w:val="00363CCF"/>
    <w:rsid w:val="00364AD9"/>
    <w:rsid w:val="00365ECE"/>
    <w:rsid w:val="0036655D"/>
    <w:rsid w:val="00366D58"/>
    <w:rsid w:val="003671FB"/>
    <w:rsid w:val="0036768F"/>
    <w:rsid w:val="0036779F"/>
    <w:rsid w:val="0037072F"/>
    <w:rsid w:val="00370C0F"/>
    <w:rsid w:val="00370C18"/>
    <w:rsid w:val="00370D3E"/>
    <w:rsid w:val="0037216C"/>
    <w:rsid w:val="00372794"/>
    <w:rsid w:val="003734D3"/>
    <w:rsid w:val="00373997"/>
    <w:rsid w:val="00373E49"/>
    <w:rsid w:val="003744DA"/>
    <w:rsid w:val="0037452A"/>
    <w:rsid w:val="003747EA"/>
    <w:rsid w:val="00375927"/>
    <w:rsid w:val="00375FA6"/>
    <w:rsid w:val="00376103"/>
    <w:rsid w:val="0037760A"/>
    <w:rsid w:val="003809B9"/>
    <w:rsid w:val="00381D21"/>
    <w:rsid w:val="0038275A"/>
    <w:rsid w:val="00382CFB"/>
    <w:rsid w:val="00383227"/>
    <w:rsid w:val="00383C10"/>
    <w:rsid w:val="00384904"/>
    <w:rsid w:val="00384AEC"/>
    <w:rsid w:val="003853D3"/>
    <w:rsid w:val="003856A9"/>
    <w:rsid w:val="00385AD2"/>
    <w:rsid w:val="00385F17"/>
    <w:rsid w:val="00386B16"/>
    <w:rsid w:val="00387D1C"/>
    <w:rsid w:val="00390AE0"/>
    <w:rsid w:val="00390D7F"/>
    <w:rsid w:val="0039156A"/>
    <w:rsid w:val="00391A49"/>
    <w:rsid w:val="00393D56"/>
    <w:rsid w:val="00396212"/>
    <w:rsid w:val="00396F35"/>
    <w:rsid w:val="003977DC"/>
    <w:rsid w:val="003A04E3"/>
    <w:rsid w:val="003A0ED0"/>
    <w:rsid w:val="003A2D15"/>
    <w:rsid w:val="003A2D6E"/>
    <w:rsid w:val="003A2EAA"/>
    <w:rsid w:val="003A3CF7"/>
    <w:rsid w:val="003A4123"/>
    <w:rsid w:val="003A47D5"/>
    <w:rsid w:val="003A504D"/>
    <w:rsid w:val="003A5309"/>
    <w:rsid w:val="003A5A05"/>
    <w:rsid w:val="003A5B52"/>
    <w:rsid w:val="003A6AFA"/>
    <w:rsid w:val="003A6E28"/>
    <w:rsid w:val="003A7A95"/>
    <w:rsid w:val="003B0ECE"/>
    <w:rsid w:val="003B178C"/>
    <w:rsid w:val="003B2FD5"/>
    <w:rsid w:val="003B3CD7"/>
    <w:rsid w:val="003B433A"/>
    <w:rsid w:val="003B4CCD"/>
    <w:rsid w:val="003B4DED"/>
    <w:rsid w:val="003B5069"/>
    <w:rsid w:val="003B563F"/>
    <w:rsid w:val="003B59B3"/>
    <w:rsid w:val="003B6135"/>
    <w:rsid w:val="003B675E"/>
    <w:rsid w:val="003B7015"/>
    <w:rsid w:val="003C108E"/>
    <w:rsid w:val="003C12C5"/>
    <w:rsid w:val="003C1A04"/>
    <w:rsid w:val="003C1DB7"/>
    <w:rsid w:val="003C1F16"/>
    <w:rsid w:val="003C201B"/>
    <w:rsid w:val="003C26F4"/>
    <w:rsid w:val="003C27EF"/>
    <w:rsid w:val="003C282E"/>
    <w:rsid w:val="003C32E9"/>
    <w:rsid w:val="003C3898"/>
    <w:rsid w:val="003C421A"/>
    <w:rsid w:val="003C44B6"/>
    <w:rsid w:val="003C5670"/>
    <w:rsid w:val="003C687C"/>
    <w:rsid w:val="003C69E3"/>
    <w:rsid w:val="003C6AA7"/>
    <w:rsid w:val="003C7D9B"/>
    <w:rsid w:val="003D0098"/>
    <w:rsid w:val="003D0FE1"/>
    <w:rsid w:val="003D1DF0"/>
    <w:rsid w:val="003D2581"/>
    <w:rsid w:val="003D2605"/>
    <w:rsid w:val="003D2D5D"/>
    <w:rsid w:val="003D2F7E"/>
    <w:rsid w:val="003D39E5"/>
    <w:rsid w:val="003D5488"/>
    <w:rsid w:val="003D64D6"/>
    <w:rsid w:val="003D7043"/>
    <w:rsid w:val="003E034A"/>
    <w:rsid w:val="003E06B7"/>
    <w:rsid w:val="003E07B0"/>
    <w:rsid w:val="003E0831"/>
    <w:rsid w:val="003E14E6"/>
    <w:rsid w:val="003E20E7"/>
    <w:rsid w:val="003E3924"/>
    <w:rsid w:val="003E3E21"/>
    <w:rsid w:val="003E4929"/>
    <w:rsid w:val="003E4C75"/>
    <w:rsid w:val="003E5703"/>
    <w:rsid w:val="003E64FD"/>
    <w:rsid w:val="003E69FC"/>
    <w:rsid w:val="003E6D20"/>
    <w:rsid w:val="003E6DF9"/>
    <w:rsid w:val="003E72E7"/>
    <w:rsid w:val="003F0933"/>
    <w:rsid w:val="003F0986"/>
    <w:rsid w:val="003F16DE"/>
    <w:rsid w:val="003F1AD4"/>
    <w:rsid w:val="003F1E6E"/>
    <w:rsid w:val="003F231B"/>
    <w:rsid w:val="003F29E7"/>
    <w:rsid w:val="003F2D32"/>
    <w:rsid w:val="003F39FE"/>
    <w:rsid w:val="003F3EF3"/>
    <w:rsid w:val="003F45A7"/>
    <w:rsid w:val="003F6661"/>
    <w:rsid w:val="003F76C2"/>
    <w:rsid w:val="00400402"/>
    <w:rsid w:val="00400606"/>
    <w:rsid w:val="00401E5A"/>
    <w:rsid w:val="004042AA"/>
    <w:rsid w:val="00404AE6"/>
    <w:rsid w:val="004051B8"/>
    <w:rsid w:val="00405AC9"/>
    <w:rsid w:val="00405B15"/>
    <w:rsid w:val="00406621"/>
    <w:rsid w:val="004108AD"/>
    <w:rsid w:val="00411635"/>
    <w:rsid w:val="0041256A"/>
    <w:rsid w:val="00412952"/>
    <w:rsid w:val="004129C8"/>
    <w:rsid w:val="004138B8"/>
    <w:rsid w:val="00413932"/>
    <w:rsid w:val="004139B8"/>
    <w:rsid w:val="00414978"/>
    <w:rsid w:val="004153F9"/>
    <w:rsid w:val="0041545E"/>
    <w:rsid w:val="00415AB5"/>
    <w:rsid w:val="00416032"/>
    <w:rsid w:val="00416068"/>
    <w:rsid w:val="00416281"/>
    <w:rsid w:val="004168D9"/>
    <w:rsid w:val="004173BF"/>
    <w:rsid w:val="00417AAB"/>
    <w:rsid w:val="004205BF"/>
    <w:rsid w:val="0042077A"/>
    <w:rsid w:val="004220F7"/>
    <w:rsid w:val="00422353"/>
    <w:rsid w:val="00423177"/>
    <w:rsid w:val="00424CF6"/>
    <w:rsid w:val="00425230"/>
    <w:rsid w:val="004259B9"/>
    <w:rsid w:val="00425AD9"/>
    <w:rsid w:val="00426915"/>
    <w:rsid w:val="004302A2"/>
    <w:rsid w:val="00430B99"/>
    <w:rsid w:val="00430CB5"/>
    <w:rsid w:val="00430E01"/>
    <w:rsid w:val="00431538"/>
    <w:rsid w:val="00431C07"/>
    <w:rsid w:val="00431F0B"/>
    <w:rsid w:val="00431FC8"/>
    <w:rsid w:val="00432544"/>
    <w:rsid w:val="00432740"/>
    <w:rsid w:val="00432795"/>
    <w:rsid w:val="00432987"/>
    <w:rsid w:val="00433F63"/>
    <w:rsid w:val="004350BB"/>
    <w:rsid w:val="00435788"/>
    <w:rsid w:val="004359E6"/>
    <w:rsid w:val="00435C19"/>
    <w:rsid w:val="00437108"/>
    <w:rsid w:val="00437DE5"/>
    <w:rsid w:val="00440D92"/>
    <w:rsid w:val="004414CC"/>
    <w:rsid w:val="00442044"/>
    <w:rsid w:val="00442F33"/>
    <w:rsid w:val="00442FDF"/>
    <w:rsid w:val="004431CF"/>
    <w:rsid w:val="004434B2"/>
    <w:rsid w:val="00443CE3"/>
    <w:rsid w:val="00444FAB"/>
    <w:rsid w:val="00445400"/>
    <w:rsid w:val="004455E7"/>
    <w:rsid w:val="0044592B"/>
    <w:rsid w:val="00445B3A"/>
    <w:rsid w:val="00447239"/>
    <w:rsid w:val="004477D5"/>
    <w:rsid w:val="00447F6B"/>
    <w:rsid w:val="00450CB3"/>
    <w:rsid w:val="00451578"/>
    <w:rsid w:val="0045238C"/>
    <w:rsid w:val="00452DCE"/>
    <w:rsid w:val="00452E7B"/>
    <w:rsid w:val="00453C4A"/>
    <w:rsid w:val="00453CFC"/>
    <w:rsid w:val="0045459E"/>
    <w:rsid w:val="00454633"/>
    <w:rsid w:val="004546FA"/>
    <w:rsid w:val="004551E4"/>
    <w:rsid w:val="004558EA"/>
    <w:rsid w:val="00456442"/>
    <w:rsid w:val="00456A82"/>
    <w:rsid w:val="00456D62"/>
    <w:rsid w:val="004579FE"/>
    <w:rsid w:val="00460896"/>
    <w:rsid w:val="00460901"/>
    <w:rsid w:val="00460B30"/>
    <w:rsid w:val="004617AF"/>
    <w:rsid w:val="0046291E"/>
    <w:rsid w:val="004629FC"/>
    <w:rsid w:val="00462B64"/>
    <w:rsid w:val="0046324D"/>
    <w:rsid w:val="004650B3"/>
    <w:rsid w:val="00465164"/>
    <w:rsid w:val="0046583F"/>
    <w:rsid w:val="0046586A"/>
    <w:rsid w:val="0046652D"/>
    <w:rsid w:val="004668AD"/>
    <w:rsid w:val="00466C6B"/>
    <w:rsid w:val="00466D0F"/>
    <w:rsid w:val="00470D1D"/>
    <w:rsid w:val="00470DDA"/>
    <w:rsid w:val="0047126B"/>
    <w:rsid w:val="00471CE7"/>
    <w:rsid w:val="00472F3D"/>
    <w:rsid w:val="00472FB9"/>
    <w:rsid w:val="00474C26"/>
    <w:rsid w:val="00475420"/>
    <w:rsid w:val="004754D8"/>
    <w:rsid w:val="0047612E"/>
    <w:rsid w:val="004764D6"/>
    <w:rsid w:val="004769E0"/>
    <w:rsid w:val="00476FF6"/>
    <w:rsid w:val="00477AB6"/>
    <w:rsid w:val="00480302"/>
    <w:rsid w:val="00480873"/>
    <w:rsid w:val="0048107D"/>
    <w:rsid w:val="00481D1A"/>
    <w:rsid w:val="00481ED7"/>
    <w:rsid w:val="00481FE7"/>
    <w:rsid w:val="004820DC"/>
    <w:rsid w:val="004832A5"/>
    <w:rsid w:val="004846DD"/>
    <w:rsid w:val="004846EC"/>
    <w:rsid w:val="0048532C"/>
    <w:rsid w:val="004856A7"/>
    <w:rsid w:val="00485762"/>
    <w:rsid w:val="004857A0"/>
    <w:rsid w:val="00486A75"/>
    <w:rsid w:val="0048705C"/>
    <w:rsid w:val="00490274"/>
    <w:rsid w:val="00490350"/>
    <w:rsid w:val="004904CC"/>
    <w:rsid w:val="0049103F"/>
    <w:rsid w:val="00491491"/>
    <w:rsid w:val="00491CEF"/>
    <w:rsid w:val="00492581"/>
    <w:rsid w:val="0049310F"/>
    <w:rsid w:val="00493B23"/>
    <w:rsid w:val="00495F2B"/>
    <w:rsid w:val="00496281"/>
    <w:rsid w:val="004964E6"/>
    <w:rsid w:val="00496F4F"/>
    <w:rsid w:val="00497277"/>
    <w:rsid w:val="0049742A"/>
    <w:rsid w:val="0049781E"/>
    <w:rsid w:val="004A0DFE"/>
    <w:rsid w:val="004A2565"/>
    <w:rsid w:val="004A2817"/>
    <w:rsid w:val="004A31FE"/>
    <w:rsid w:val="004A3C62"/>
    <w:rsid w:val="004A4CE7"/>
    <w:rsid w:val="004A56AC"/>
    <w:rsid w:val="004A58F5"/>
    <w:rsid w:val="004A59BE"/>
    <w:rsid w:val="004A68BE"/>
    <w:rsid w:val="004A6AE6"/>
    <w:rsid w:val="004A70B4"/>
    <w:rsid w:val="004A72E0"/>
    <w:rsid w:val="004B0A40"/>
    <w:rsid w:val="004B1DC4"/>
    <w:rsid w:val="004B1EF2"/>
    <w:rsid w:val="004B2783"/>
    <w:rsid w:val="004B2C82"/>
    <w:rsid w:val="004B2DB3"/>
    <w:rsid w:val="004B3A15"/>
    <w:rsid w:val="004B3B28"/>
    <w:rsid w:val="004B4DD9"/>
    <w:rsid w:val="004B59F0"/>
    <w:rsid w:val="004B66CF"/>
    <w:rsid w:val="004B6B43"/>
    <w:rsid w:val="004B72C2"/>
    <w:rsid w:val="004B768D"/>
    <w:rsid w:val="004C011D"/>
    <w:rsid w:val="004C06DA"/>
    <w:rsid w:val="004C0971"/>
    <w:rsid w:val="004C0C25"/>
    <w:rsid w:val="004C0F06"/>
    <w:rsid w:val="004C1765"/>
    <w:rsid w:val="004C1ECF"/>
    <w:rsid w:val="004C2111"/>
    <w:rsid w:val="004C2921"/>
    <w:rsid w:val="004C2BA6"/>
    <w:rsid w:val="004C4302"/>
    <w:rsid w:val="004C4E82"/>
    <w:rsid w:val="004C732E"/>
    <w:rsid w:val="004C77BF"/>
    <w:rsid w:val="004D0970"/>
    <w:rsid w:val="004D183C"/>
    <w:rsid w:val="004D204E"/>
    <w:rsid w:val="004D20AE"/>
    <w:rsid w:val="004D2607"/>
    <w:rsid w:val="004D2796"/>
    <w:rsid w:val="004D2A89"/>
    <w:rsid w:val="004D2DE8"/>
    <w:rsid w:val="004D3578"/>
    <w:rsid w:val="004D3606"/>
    <w:rsid w:val="004D3910"/>
    <w:rsid w:val="004D3C25"/>
    <w:rsid w:val="004D531F"/>
    <w:rsid w:val="004D57D4"/>
    <w:rsid w:val="004D5CC8"/>
    <w:rsid w:val="004D5D9E"/>
    <w:rsid w:val="004D651D"/>
    <w:rsid w:val="004D6626"/>
    <w:rsid w:val="004D736D"/>
    <w:rsid w:val="004D7B24"/>
    <w:rsid w:val="004E0AD4"/>
    <w:rsid w:val="004E0FCB"/>
    <w:rsid w:val="004E16D6"/>
    <w:rsid w:val="004E1EA5"/>
    <w:rsid w:val="004E26B0"/>
    <w:rsid w:val="004E3C32"/>
    <w:rsid w:val="004E5717"/>
    <w:rsid w:val="004E5BCE"/>
    <w:rsid w:val="004E6038"/>
    <w:rsid w:val="004E638A"/>
    <w:rsid w:val="004E67E2"/>
    <w:rsid w:val="004E6A0C"/>
    <w:rsid w:val="004E6A57"/>
    <w:rsid w:val="004E7094"/>
    <w:rsid w:val="004E76DC"/>
    <w:rsid w:val="004E7A57"/>
    <w:rsid w:val="004F1A16"/>
    <w:rsid w:val="004F207F"/>
    <w:rsid w:val="004F258A"/>
    <w:rsid w:val="004F2A7E"/>
    <w:rsid w:val="004F3AEB"/>
    <w:rsid w:val="004F3B1E"/>
    <w:rsid w:val="004F3EF3"/>
    <w:rsid w:val="004F5D91"/>
    <w:rsid w:val="004F5F42"/>
    <w:rsid w:val="004F6E94"/>
    <w:rsid w:val="004F7D60"/>
    <w:rsid w:val="00500709"/>
    <w:rsid w:val="00500D61"/>
    <w:rsid w:val="00502251"/>
    <w:rsid w:val="00502A65"/>
    <w:rsid w:val="0050348B"/>
    <w:rsid w:val="005039A8"/>
    <w:rsid w:val="00503BF1"/>
    <w:rsid w:val="0050441B"/>
    <w:rsid w:val="0050605C"/>
    <w:rsid w:val="005070FA"/>
    <w:rsid w:val="0050718F"/>
    <w:rsid w:val="0051188A"/>
    <w:rsid w:val="00511BFC"/>
    <w:rsid w:val="00511F6F"/>
    <w:rsid w:val="0051206C"/>
    <w:rsid w:val="00512D95"/>
    <w:rsid w:val="00514A46"/>
    <w:rsid w:val="00516A88"/>
    <w:rsid w:val="005174FC"/>
    <w:rsid w:val="005178B1"/>
    <w:rsid w:val="00520008"/>
    <w:rsid w:val="0052186A"/>
    <w:rsid w:val="00521EDD"/>
    <w:rsid w:val="00522220"/>
    <w:rsid w:val="00523E51"/>
    <w:rsid w:val="005246DA"/>
    <w:rsid w:val="00525255"/>
    <w:rsid w:val="00527088"/>
    <w:rsid w:val="00527F3A"/>
    <w:rsid w:val="005305E2"/>
    <w:rsid w:val="0053166D"/>
    <w:rsid w:val="00532054"/>
    <w:rsid w:val="005321DA"/>
    <w:rsid w:val="0053255B"/>
    <w:rsid w:val="005335E4"/>
    <w:rsid w:val="00534D1C"/>
    <w:rsid w:val="00535B37"/>
    <w:rsid w:val="00535D62"/>
    <w:rsid w:val="005362E9"/>
    <w:rsid w:val="00536B52"/>
    <w:rsid w:val="005404C9"/>
    <w:rsid w:val="00541084"/>
    <w:rsid w:val="00541B04"/>
    <w:rsid w:val="0054226B"/>
    <w:rsid w:val="005424B2"/>
    <w:rsid w:val="00542645"/>
    <w:rsid w:val="005426D4"/>
    <w:rsid w:val="005427BF"/>
    <w:rsid w:val="005428E6"/>
    <w:rsid w:val="00543341"/>
    <w:rsid w:val="00543381"/>
    <w:rsid w:val="00543E98"/>
    <w:rsid w:val="00545C25"/>
    <w:rsid w:val="005462CE"/>
    <w:rsid w:val="005472FD"/>
    <w:rsid w:val="00547541"/>
    <w:rsid w:val="00547BF0"/>
    <w:rsid w:val="00547C9A"/>
    <w:rsid w:val="00551365"/>
    <w:rsid w:val="00551BC5"/>
    <w:rsid w:val="00551F75"/>
    <w:rsid w:val="00553941"/>
    <w:rsid w:val="00553E22"/>
    <w:rsid w:val="00553F7C"/>
    <w:rsid w:val="00554655"/>
    <w:rsid w:val="0055476D"/>
    <w:rsid w:val="00554DE1"/>
    <w:rsid w:val="00555044"/>
    <w:rsid w:val="0055511E"/>
    <w:rsid w:val="0055526A"/>
    <w:rsid w:val="0055576A"/>
    <w:rsid w:val="0055673B"/>
    <w:rsid w:val="00556B03"/>
    <w:rsid w:val="00557D56"/>
    <w:rsid w:val="00557EB6"/>
    <w:rsid w:val="0056059B"/>
    <w:rsid w:val="00560BA5"/>
    <w:rsid w:val="005625B7"/>
    <w:rsid w:val="005627FF"/>
    <w:rsid w:val="00562C07"/>
    <w:rsid w:val="005655D4"/>
    <w:rsid w:val="00565EF1"/>
    <w:rsid w:val="00566F70"/>
    <w:rsid w:val="00570AA8"/>
    <w:rsid w:val="00571181"/>
    <w:rsid w:val="0057279C"/>
    <w:rsid w:val="00572B7F"/>
    <w:rsid w:val="00573585"/>
    <w:rsid w:val="00573ABD"/>
    <w:rsid w:val="00573C02"/>
    <w:rsid w:val="00573F55"/>
    <w:rsid w:val="005743BF"/>
    <w:rsid w:val="005744EF"/>
    <w:rsid w:val="005755BE"/>
    <w:rsid w:val="00575893"/>
    <w:rsid w:val="005762E6"/>
    <w:rsid w:val="00576F1B"/>
    <w:rsid w:val="0057732B"/>
    <w:rsid w:val="00577D61"/>
    <w:rsid w:val="00580D96"/>
    <w:rsid w:val="00580F31"/>
    <w:rsid w:val="00580F33"/>
    <w:rsid w:val="00581199"/>
    <w:rsid w:val="005815F0"/>
    <w:rsid w:val="00581F6E"/>
    <w:rsid w:val="005822AC"/>
    <w:rsid w:val="00583AE1"/>
    <w:rsid w:val="00583BC6"/>
    <w:rsid w:val="00584B59"/>
    <w:rsid w:val="00584BD8"/>
    <w:rsid w:val="00585BAA"/>
    <w:rsid w:val="005869EC"/>
    <w:rsid w:val="00586EB0"/>
    <w:rsid w:val="00586F2F"/>
    <w:rsid w:val="00587945"/>
    <w:rsid w:val="00587BBF"/>
    <w:rsid w:val="00590FAD"/>
    <w:rsid w:val="00592636"/>
    <w:rsid w:val="00593B8A"/>
    <w:rsid w:val="00593C52"/>
    <w:rsid w:val="00594FAE"/>
    <w:rsid w:val="00595713"/>
    <w:rsid w:val="00595879"/>
    <w:rsid w:val="00595AF8"/>
    <w:rsid w:val="00595B02"/>
    <w:rsid w:val="005962DD"/>
    <w:rsid w:val="0059675E"/>
    <w:rsid w:val="0059740A"/>
    <w:rsid w:val="005974D7"/>
    <w:rsid w:val="005A01EC"/>
    <w:rsid w:val="005A0547"/>
    <w:rsid w:val="005A34DE"/>
    <w:rsid w:val="005A36C9"/>
    <w:rsid w:val="005A36F8"/>
    <w:rsid w:val="005A4BB9"/>
    <w:rsid w:val="005A53BD"/>
    <w:rsid w:val="005A5691"/>
    <w:rsid w:val="005A5E3F"/>
    <w:rsid w:val="005A797C"/>
    <w:rsid w:val="005B19EF"/>
    <w:rsid w:val="005B35F5"/>
    <w:rsid w:val="005B39D0"/>
    <w:rsid w:val="005B3F62"/>
    <w:rsid w:val="005B405A"/>
    <w:rsid w:val="005B4B4D"/>
    <w:rsid w:val="005B50D6"/>
    <w:rsid w:val="005B5132"/>
    <w:rsid w:val="005B54DD"/>
    <w:rsid w:val="005B5CC3"/>
    <w:rsid w:val="005B6195"/>
    <w:rsid w:val="005B6601"/>
    <w:rsid w:val="005B66C9"/>
    <w:rsid w:val="005B7930"/>
    <w:rsid w:val="005B7E7A"/>
    <w:rsid w:val="005C0DEE"/>
    <w:rsid w:val="005C2CCB"/>
    <w:rsid w:val="005C2DBE"/>
    <w:rsid w:val="005C2E6F"/>
    <w:rsid w:val="005C3473"/>
    <w:rsid w:val="005C42F1"/>
    <w:rsid w:val="005C4C0F"/>
    <w:rsid w:val="005C5C92"/>
    <w:rsid w:val="005C6214"/>
    <w:rsid w:val="005C6479"/>
    <w:rsid w:val="005C69FD"/>
    <w:rsid w:val="005C73DE"/>
    <w:rsid w:val="005C78D5"/>
    <w:rsid w:val="005C7A05"/>
    <w:rsid w:val="005C7FA7"/>
    <w:rsid w:val="005D1C6A"/>
    <w:rsid w:val="005D259F"/>
    <w:rsid w:val="005D2D94"/>
    <w:rsid w:val="005D2F0A"/>
    <w:rsid w:val="005D32C9"/>
    <w:rsid w:val="005D32CB"/>
    <w:rsid w:val="005D3460"/>
    <w:rsid w:val="005D348A"/>
    <w:rsid w:val="005D375D"/>
    <w:rsid w:val="005D3B9C"/>
    <w:rsid w:val="005D4FEF"/>
    <w:rsid w:val="005D53E7"/>
    <w:rsid w:val="005D58A5"/>
    <w:rsid w:val="005D5A4D"/>
    <w:rsid w:val="005D63F4"/>
    <w:rsid w:val="005D6571"/>
    <w:rsid w:val="005D7025"/>
    <w:rsid w:val="005D74D2"/>
    <w:rsid w:val="005D7C63"/>
    <w:rsid w:val="005E003C"/>
    <w:rsid w:val="005E0F2F"/>
    <w:rsid w:val="005E2451"/>
    <w:rsid w:val="005E29BD"/>
    <w:rsid w:val="005E2A68"/>
    <w:rsid w:val="005E2D67"/>
    <w:rsid w:val="005E2DD4"/>
    <w:rsid w:val="005E4758"/>
    <w:rsid w:val="005E4E3B"/>
    <w:rsid w:val="005E531C"/>
    <w:rsid w:val="005E5453"/>
    <w:rsid w:val="005E5578"/>
    <w:rsid w:val="005E5E36"/>
    <w:rsid w:val="005E63E8"/>
    <w:rsid w:val="005E6F5A"/>
    <w:rsid w:val="005E7C3B"/>
    <w:rsid w:val="005E7C59"/>
    <w:rsid w:val="005F050C"/>
    <w:rsid w:val="005F188C"/>
    <w:rsid w:val="005F1A40"/>
    <w:rsid w:val="005F2637"/>
    <w:rsid w:val="005F2E83"/>
    <w:rsid w:val="005F3EAF"/>
    <w:rsid w:val="005F412A"/>
    <w:rsid w:val="005F4317"/>
    <w:rsid w:val="005F48B6"/>
    <w:rsid w:val="005F495A"/>
    <w:rsid w:val="005F4D62"/>
    <w:rsid w:val="005F58A6"/>
    <w:rsid w:val="005F5A21"/>
    <w:rsid w:val="005F66C9"/>
    <w:rsid w:val="005F6EA7"/>
    <w:rsid w:val="006025CC"/>
    <w:rsid w:val="006028C6"/>
    <w:rsid w:val="0060351E"/>
    <w:rsid w:val="00603627"/>
    <w:rsid w:val="00603B31"/>
    <w:rsid w:val="00604AB9"/>
    <w:rsid w:val="00604BB8"/>
    <w:rsid w:val="006065B3"/>
    <w:rsid w:val="006066EA"/>
    <w:rsid w:val="0060758C"/>
    <w:rsid w:val="00607851"/>
    <w:rsid w:val="00607A01"/>
    <w:rsid w:val="00607B8F"/>
    <w:rsid w:val="006106BF"/>
    <w:rsid w:val="00610ED7"/>
    <w:rsid w:val="00611461"/>
    <w:rsid w:val="00611776"/>
    <w:rsid w:val="00611AC8"/>
    <w:rsid w:val="006123C4"/>
    <w:rsid w:val="00612422"/>
    <w:rsid w:val="006130D6"/>
    <w:rsid w:val="0061455F"/>
    <w:rsid w:val="0061523B"/>
    <w:rsid w:val="006160A8"/>
    <w:rsid w:val="006160FB"/>
    <w:rsid w:val="006164B3"/>
    <w:rsid w:val="00617656"/>
    <w:rsid w:val="00620772"/>
    <w:rsid w:val="00620CE3"/>
    <w:rsid w:val="00620F12"/>
    <w:rsid w:val="00621086"/>
    <w:rsid w:val="00621744"/>
    <w:rsid w:val="00621AEB"/>
    <w:rsid w:val="00622244"/>
    <w:rsid w:val="006227A8"/>
    <w:rsid w:val="00624551"/>
    <w:rsid w:val="00625137"/>
    <w:rsid w:val="00625CA1"/>
    <w:rsid w:val="00625EDE"/>
    <w:rsid w:val="006261BB"/>
    <w:rsid w:val="006263D9"/>
    <w:rsid w:val="00626AF3"/>
    <w:rsid w:val="00626F05"/>
    <w:rsid w:val="00627930"/>
    <w:rsid w:val="00627CDC"/>
    <w:rsid w:val="00627D0D"/>
    <w:rsid w:val="00630193"/>
    <w:rsid w:val="006302D3"/>
    <w:rsid w:val="00630778"/>
    <w:rsid w:val="00631B89"/>
    <w:rsid w:val="00631CB3"/>
    <w:rsid w:val="00633473"/>
    <w:rsid w:val="00633CA2"/>
    <w:rsid w:val="00634D9D"/>
    <w:rsid w:val="00635620"/>
    <w:rsid w:val="006356B1"/>
    <w:rsid w:val="006365A1"/>
    <w:rsid w:val="006368A6"/>
    <w:rsid w:val="006368E1"/>
    <w:rsid w:val="00636AA2"/>
    <w:rsid w:val="0064005C"/>
    <w:rsid w:val="006400C3"/>
    <w:rsid w:val="0064169B"/>
    <w:rsid w:val="00641F35"/>
    <w:rsid w:val="0064210E"/>
    <w:rsid w:val="00642574"/>
    <w:rsid w:val="0064273E"/>
    <w:rsid w:val="006428F4"/>
    <w:rsid w:val="00643521"/>
    <w:rsid w:val="00643A99"/>
    <w:rsid w:val="00646BFB"/>
    <w:rsid w:val="00647015"/>
    <w:rsid w:val="00647185"/>
    <w:rsid w:val="006505F4"/>
    <w:rsid w:val="0065066E"/>
    <w:rsid w:val="00651038"/>
    <w:rsid w:val="00651874"/>
    <w:rsid w:val="00651AD6"/>
    <w:rsid w:val="00651B7B"/>
    <w:rsid w:val="00651C3E"/>
    <w:rsid w:val="006523AB"/>
    <w:rsid w:val="00652992"/>
    <w:rsid w:val="006546E4"/>
    <w:rsid w:val="006549E4"/>
    <w:rsid w:val="00654ADC"/>
    <w:rsid w:val="00655979"/>
    <w:rsid w:val="00657F1F"/>
    <w:rsid w:val="0066037F"/>
    <w:rsid w:val="006614EE"/>
    <w:rsid w:val="00661E10"/>
    <w:rsid w:val="00662D90"/>
    <w:rsid w:val="00663433"/>
    <w:rsid w:val="00663A28"/>
    <w:rsid w:val="00663C1C"/>
    <w:rsid w:val="00663C69"/>
    <w:rsid w:val="00664D1E"/>
    <w:rsid w:val="00665334"/>
    <w:rsid w:val="00665798"/>
    <w:rsid w:val="00666042"/>
    <w:rsid w:val="00666688"/>
    <w:rsid w:val="00666764"/>
    <w:rsid w:val="0066694B"/>
    <w:rsid w:val="00666A20"/>
    <w:rsid w:val="00666C93"/>
    <w:rsid w:val="00667107"/>
    <w:rsid w:val="0066752C"/>
    <w:rsid w:val="00667DB6"/>
    <w:rsid w:val="006704E4"/>
    <w:rsid w:val="00670ED8"/>
    <w:rsid w:val="00672195"/>
    <w:rsid w:val="00672217"/>
    <w:rsid w:val="00672503"/>
    <w:rsid w:val="00672C13"/>
    <w:rsid w:val="00672F95"/>
    <w:rsid w:val="00673458"/>
    <w:rsid w:val="0067435A"/>
    <w:rsid w:val="00675752"/>
    <w:rsid w:val="00675E46"/>
    <w:rsid w:val="00676625"/>
    <w:rsid w:val="00676DD5"/>
    <w:rsid w:val="006771E8"/>
    <w:rsid w:val="006775B4"/>
    <w:rsid w:val="006778D5"/>
    <w:rsid w:val="00677C01"/>
    <w:rsid w:val="006809A2"/>
    <w:rsid w:val="006818D1"/>
    <w:rsid w:val="00682EA9"/>
    <w:rsid w:val="006830D9"/>
    <w:rsid w:val="00683BA6"/>
    <w:rsid w:val="00683CC7"/>
    <w:rsid w:val="00683D04"/>
    <w:rsid w:val="0068444C"/>
    <w:rsid w:val="00685A5F"/>
    <w:rsid w:val="00685F35"/>
    <w:rsid w:val="00687396"/>
    <w:rsid w:val="006904AF"/>
    <w:rsid w:val="00690E73"/>
    <w:rsid w:val="00692CA5"/>
    <w:rsid w:val="00692F28"/>
    <w:rsid w:val="006932D7"/>
    <w:rsid w:val="006939E2"/>
    <w:rsid w:val="006952A9"/>
    <w:rsid w:val="006A078F"/>
    <w:rsid w:val="006A0ACD"/>
    <w:rsid w:val="006A12A0"/>
    <w:rsid w:val="006A283C"/>
    <w:rsid w:val="006A2EC7"/>
    <w:rsid w:val="006A528D"/>
    <w:rsid w:val="006A6D5B"/>
    <w:rsid w:val="006A6ED4"/>
    <w:rsid w:val="006B0532"/>
    <w:rsid w:val="006B06A2"/>
    <w:rsid w:val="006B0784"/>
    <w:rsid w:val="006B1476"/>
    <w:rsid w:val="006B26F2"/>
    <w:rsid w:val="006B27D4"/>
    <w:rsid w:val="006B30EE"/>
    <w:rsid w:val="006B34FE"/>
    <w:rsid w:val="006B4214"/>
    <w:rsid w:val="006B4378"/>
    <w:rsid w:val="006B51DD"/>
    <w:rsid w:val="006B5898"/>
    <w:rsid w:val="006B6004"/>
    <w:rsid w:val="006B631A"/>
    <w:rsid w:val="006B7775"/>
    <w:rsid w:val="006B785C"/>
    <w:rsid w:val="006B7A56"/>
    <w:rsid w:val="006C0353"/>
    <w:rsid w:val="006C27B6"/>
    <w:rsid w:val="006C31C4"/>
    <w:rsid w:val="006C3D37"/>
    <w:rsid w:val="006C49D6"/>
    <w:rsid w:val="006C4A14"/>
    <w:rsid w:val="006C6376"/>
    <w:rsid w:val="006D1C08"/>
    <w:rsid w:val="006D1D0E"/>
    <w:rsid w:val="006D1F06"/>
    <w:rsid w:val="006D1F1B"/>
    <w:rsid w:val="006D2458"/>
    <w:rsid w:val="006D2C69"/>
    <w:rsid w:val="006D2CD6"/>
    <w:rsid w:val="006D3607"/>
    <w:rsid w:val="006D4FB1"/>
    <w:rsid w:val="006D6941"/>
    <w:rsid w:val="006D6DE3"/>
    <w:rsid w:val="006D6FF5"/>
    <w:rsid w:val="006D76D5"/>
    <w:rsid w:val="006E0C7F"/>
    <w:rsid w:val="006E0CB1"/>
    <w:rsid w:val="006E116F"/>
    <w:rsid w:val="006E28CA"/>
    <w:rsid w:val="006E2DF5"/>
    <w:rsid w:val="006E3C6B"/>
    <w:rsid w:val="006E4978"/>
    <w:rsid w:val="006E5E32"/>
    <w:rsid w:val="006E6640"/>
    <w:rsid w:val="006E7238"/>
    <w:rsid w:val="006E724E"/>
    <w:rsid w:val="006E7DB1"/>
    <w:rsid w:val="006F0692"/>
    <w:rsid w:val="006F1360"/>
    <w:rsid w:val="006F1611"/>
    <w:rsid w:val="006F1B19"/>
    <w:rsid w:val="006F1C2C"/>
    <w:rsid w:val="006F1E26"/>
    <w:rsid w:val="006F256A"/>
    <w:rsid w:val="006F2815"/>
    <w:rsid w:val="006F29ED"/>
    <w:rsid w:val="006F2A0D"/>
    <w:rsid w:val="006F2B91"/>
    <w:rsid w:val="006F2D84"/>
    <w:rsid w:val="006F2F4D"/>
    <w:rsid w:val="006F38A8"/>
    <w:rsid w:val="006F4F77"/>
    <w:rsid w:val="006F6555"/>
    <w:rsid w:val="006F65A1"/>
    <w:rsid w:val="006F67D8"/>
    <w:rsid w:val="006F7568"/>
    <w:rsid w:val="006F7B39"/>
    <w:rsid w:val="006F7D24"/>
    <w:rsid w:val="00700C75"/>
    <w:rsid w:val="0070147C"/>
    <w:rsid w:val="00701BBB"/>
    <w:rsid w:val="00701F4C"/>
    <w:rsid w:val="00702799"/>
    <w:rsid w:val="00703211"/>
    <w:rsid w:val="0070371E"/>
    <w:rsid w:val="007044BA"/>
    <w:rsid w:val="007045E2"/>
    <w:rsid w:val="00705828"/>
    <w:rsid w:val="00705E4A"/>
    <w:rsid w:val="00706E87"/>
    <w:rsid w:val="00707CAE"/>
    <w:rsid w:val="007109CB"/>
    <w:rsid w:val="00711324"/>
    <w:rsid w:val="007122F1"/>
    <w:rsid w:val="00712500"/>
    <w:rsid w:val="00712A5E"/>
    <w:rsid w:val="007138C7"/>
    <w:rsid w:val="00713AF0"/>
    <w:rsid w:val="00713CD7"/>
    <w:rsid w:val="00714014"/>
    <w:rsid w:val="0071467A"/>
    <w:rsid w:val="00714FD6"/>
    <w:rsid w:val="007152D1"/>
    <w:rsid w:val="00717553"/>
    <w:rsid w:val="00717990"/>
    <w:rsid w:val="007217E3"/>
    <w:rsid w:val="00722859"/>
    <w:rsid w:val="00722D3E"/>
    <w:rsid w:val="00723AC2"/>
    <w:rsid w:val="00724AA0"/>
    <w:rsid w:val="00724CAC"/>
    <w:rsid w:val="007265F7"/>
    <w:rsid w:val="007273C6"/>
    <w:rsid w:val="00727A84"/>
    <w:rsid w:val="00727EE6"/>
    <w:rsid w:val="00730038"/>
    <w:rsid w:val="0073178C"/>
    <w:rsid w:val="00731894"/>
    <w:rsid w:val="00731948"/>
    <w:rsid w:val="00731C71"/>
    <w:rsid w:val="00731C87"/>
    <w:rsid w:val="007342DB"/>
    <w:rsid w:val="007342DF"/>
    <w:rsid w:val="00734AE7"/>
    <w:rsid w:val="00734D83"/>
    <w:rsid w:val="00734FEE"/>
    <w:rsid w:val="007357B1"/>
    <w:rsid w:val="00737685"/>
    <w:rsid w:val="00737751"/>
    <w:rsid w:val="00740500"/>
    <w:rsid w:val="00740E3B"/>
    <w:rsid w:val="00741066"/>
    <w:rsid w:val="007413F2"/>
    <w:rsid w:val="00741AF4"/>
    <w:rsid w:val="00741E6F"/>
    <w:rsid w:val="00742627"/>
    <w:rsid w:val="00742F79"/>
    <w:rsid w:val="00743710"/>
    <w:rsid w:val="00743F26"/>
    <w:rsid w:val="00744499"/>
    <w:rsid w:val="007444DC"/>
    <w:rsid w:val="00745FFE"/>
    <w:rsid w:val="00746796"/>
    <w:rsid w:val="007469A0"/>
    <w:rsid w:val="00746D91"/>
    <w:rsid w:val="007471B5"/>
    <w:rsid w:val="0074749E"/>
    <w:rsid w:val="00750519"/>
    <w:rsid w:val="00750A71"/>
    <w:rsid w:val="007518E4"/>
    <w:rsid w:val="007521CF"/>
    <w:rsid w:val="00753B5F"/>
    <w:rsid w:val="007549FC"/>
    <w:rsid w:val="00754A9C"/>
    <w:rsid w:val="007555FD"/>
    <w:rsid w:val="0075598A"/>
    <w:rsid w:val="007565EF"/>
    <w:rsid w:val="00756DEE"/>
    <w:rsid w:val="0076134A"/>
    <w:rsid w:val="00761617"/>
    <w:rsid w:val="00761716"/>
    <w:rsid w:val="00761813"/>
    <w:rsid w:val="00761E97"/>
    <w:rsid w:val="0076271C"/>
    <w:rsid w:val="00762AA7"/>
    <w:rsid w:val="00762AC2"/>
    <w:rsid w:val="0076319D"/>
    <w:rsid w:val="007638FF"/>
    <w:rsid w:val="00765303"/>
    <w:rsid w:val="00765834"/>
    <w:rsid w:val="0076674B"/>
    <w:rsid w:val="00767273"/>
    <w:rsid w:val="007673EE"/>
    <w:rsid w:val="00767F83"/>
    <w:rsid w:val="007704C7"/>
    <w:rsid w:val="00770710"/>
    <w:rsid w:val="00771B85"/>
    <w:rsid w:val="00771CA1"/>
    <w:rsid w:val="007729C6"/>
    <w:rsid w:val="00772E15"/>
    <w:rsid w:val="007738E3"/>
    <w:rsid w:val="00773B98"/>
    <w:rsid w:val="007748D2"/>
    <w:rsid w:val="007753CD"/>
    <w:rsid w:val="0077574B"/>
    <w:rsid w:val="00775DA6"/>
    <w:rsid w:val="00775E66"/>
    <w:rsid w:val="007766F1"/>
    <w:rsid w:val="00776A8E"/>
    <w:rsid w:val="00776B52"/>
    <w:rsid w:val="00777C8B"/>
    <w:rsid w:val="00780953"/>
    <w:rsid w:val="0078170A"/>
    <w:rsid w:val="0078330B"/>
    <w:rsid w:val="00784CC8"/>
    <w:rsid w:val="00785BD1"/>
    <w:rsid w:val="00787CD5"/>
    <w:rsid w:val="00790956"/>
    <w:rsid w:val="00790C30"/>
    <w:rsid w:val="00790F04"/>
    <w:rsid w:val="00791501"/>
    <w:rsid w:val="0079153F"/>
    <w:rsid w:val="00791E88"/>
    <w:rsid w:val="00791F3E"/>
    <w:rsid w:val="007930D7"/>
    <w:rsid w:val="007937DD"/>
    <w:rsid w:val="00793E2F"/>
    <w:rsid w:val="007948D5"/>
    <w:rsid w:val="0079502D"/>
    <w:rsid w:val="0079505D"/>
    <w:rsid w:val="00796000"/>
    <w:rsid w:val="00796F8A"/>
    <w:rsid w:val="00797EA4"/>
    <w:rsid w:val="007A0755"/>
    <w:rsid w:val="007A1156"/>
    <w:rsid w:val="007A1860"/>
    <w:rsid w:val="007A1D5C"/>
    <w:rsid w:val="007A1EA5"/>
    <w:rsid w:val="007A31D9"/>
    <w:rsid w:val="007A415C"/>
    <w:rsid w:val="007A4192"/>
    <w:rsid w:val="007A4926"/>
    <w:rsid w:val="007A4AC9"/>
    <w:rsid w:val="007A4E6E"/>
    <w:rsid w:val="007A5582"/>
    <w:rsid w:val="007A5B1A"/>
    <w:rsid w:val="007A5B37"/>
    <w:rsid w:val="007A6F2F"/>
    <w:rsid w:val="007A732F"/>
    <w:rsid w:val="007A74F9"/>
    <w:rsid w:val="007A7534"/>
    <w:rsid w:val="007B1067"/>
    <w:rsid w:val="007B16A0"/>
    <w:rsid w:val="007B1D2A"/>
    <w:rsid w:val="007B1ECA"/>
    <w:rsid w:val="007B3E36"/>
    <w:rsid w:val="007B3FAD"/>
    <w:rsid w:val="007B4E76"/>
    <w:rsid w:val="007B5483"/>
    <w:rsid w:val="007B6219"/>
    <w:rsid w:val="007B6623"/>
    <w:rsid w:val="007B6839"/>
    <w:rsid w:val="007B6AB2"/>
    <w:rsid w:val="007B7339"/>
    <w:rsid w:val="007B747E"/>
    <w:rsid w:val="007B7D8F"/>
    <w:rsid w:val="007C0F45"/>
    <w:rsid w:val="007C22F4"/>
    <w:rsid w:val="007C3252"/>
    <w:rsid w:val="007C4606"/>
    <w:rsid w:val="007C5BB4"/>
    <w:rsid w:val="007C5FC5"/>
    <w:rsid w:val="007C6026"/>
    <w:rsid w:val="007C6513"/>
    <w:rsid w:val="007C7273"/>
    <w:rsid w:val="007C7CFC"/>
    <w:rsid w:val="007D07A1"/>
    <w:rsid w:val="007D1349"/>
    <w:rsid w:val="007D1539"/>
    <w:rsid w:val="007D160F"/>
    <w:rsid w:val="007D2A73"/>
    <w:rsid w:val="007D2E4F"/>
    <w:rsid w:val="007D38A1"/>
    <w:rsid w:val="007D40A2"/>
    <w:rsid w:val="007D41A1"/>
    <w:rsid w:val="007D6026"/>
    <w:rsid w:val="007D62A5"/>
    <w:rsid w:val="007D724F"/>
    <w:rsid w:val="007D78ED"/>
    <w:rsid w:val="007D7E79"/>
    <w:rsid w:val="007E09D6"/>
    <w:rsid w:val="007E0C28"/>
    <w:rsid w:val="007E1028"/>
    <w:rsid w:val="007E119C"/>
    <w:rsid w:val="007E1509"/>
    <w:rsid w:val="007E22DF"/>
    <w:rsid w:val="007E3756"/>
    <w:rsid w:val="007E4E50"/>
    <w:rsid w:val="007E70D3"/>
    <w:rsid w:val="007E792B"/>
    <w:rsid w:val="007E7A53"/>
    <w:rsid w:val="007E7F89"/>
    <w:rsid w:val="007E7F9B"/>
    <w:rsid w:val="007F1B71"/>
    <w:rsid w:val="007F1F3A"/>
    <w:rsid w:val="007F2098"/>
    <w:rsid w:val="007F244E"/>
    <w:rsid w:val="007F2909"/>
    <w:rsid w:val="007F2DA4"/>
    <w:rsid w:val="007F3643"/>
    <w:rsid w:val="007F3E23"/>
    <w:rsid w:val="007F4355"/>
    <w:rsid w:val="007F44E2"/>
    <w:rsid w:val="007F4D25"/>
    <w:rsid w:val="007F4FCD"/>
    <w:rsid w:val="007F5C2C"/>
    <w:rsid w:val="007F5D2F"/>
    <w:rsid w:val="007F6468"/>
    <w:rsid w:val="007F6642"/>
    <w:rsid w:val="007F6B5C"/>
    <w:rsid w:val="007F7660"/>
    <w:rsid w:val="007F79DA"/>
    <w:rsid w:val="007F7DA2"/>
    <w:rsid w:val="00801187"/>
    <w:rsid w:val="00801E78"/>
    <w:rsid w:val="00801EAC"/>
    <w:rsid w:val="008025CE"/>
    <w:rsid w:val="008033D0"/>
    <w:rsid w:val="00803D7C"/>
    <w:rsid w:val="00803FB6"/>
    <w:rsid w:val="008044B2"/>
    <w:rsid w:val="00804A3B"/>
    <w:rsid w:val="008052EC"/>
    <w:rsid w:val="008059EF"/>
    <w:rsid w:val="00805BDA"/>
    <w:rsid w:val="00807FA8"/>
    <w:rsid w:val="00810659"/>
    <w:rsid w:val="00810FA2"/>
    <w:rsid w:val="0081118E"/>
    <w:rsid w:val="008118F1"/>
    <w:rsid w:val="00811B68"/>
    <w:rsid w:val="00811B69"/>
    <w:rsid w:val="008128F7"/>
    <w:rsid w:val="00812938"/>
    <w:rsid w:val="00812DD6"/>
    <w:rsid w:val="00813EA8"/>
    <w:rsid w:val="008143AB"/>
    <w:rsid w:val="008148BC"/>
    <w:rsid w:val="0081498F"/>
    <w:rsid w:val="00814EA7"/>
    <w:rsid w:val="00816B31"/>
    <w:rsid w:val="00816F26"/>
    <w:rsid w:val="00817663"/>
    <w:rsid w:val="0081778B"/>
    <w:rsid w:val="00817A13"/>
    <w:rsid w:val="00821086"/>
    <w:rsid w:val="0082164F"/>
    <w:rsid w:val="00821675"/>
    <w:rsid w:val="00821CB2"/>
    <w:rsid w:val="008224D7"/>
    <w:rsid w:val="008233E5"/>
    <w:rsid w:val="00823CD8"/>
    <w:rsid w:val="00824B51"/>
    <w:rsid w:val="008257A7"/>
    <w:rsid w:val="00826F3B"/>
    <w:rsid w:val="008272F0"/>
    <w:rsid w:val="00827B71"/>
    <w:rsid w:val="00827E85"/>
    <w:rsid w:val="00830A0A"/>
    <w:rsid w:val="00830DAC"/>
    <w:rsid w:val="0083134C"/>
    <w:rsid w:val="00832F51"/>
    <w:rsid w:val="008336C4"/>
    <w:rsid w:val="00833A7D"/>
    <w:rsid w:val="00833F3E"/>
    <w:rsid w:val="00834807"/>
    <w:rsid w:val="008355AF"/>
    <w:rsid w:val="00835DF8"/>
    <w:rsid w:val="00836169"/>
    <w:rsid w:val="00837ABC"/>
    <w:rsid w:val="008405A5"/>
    <w:rsid w:val="008405AD"/>
    <w:rsid w:val="00842A57"/>
    <w:rsid w:val="00843100"/>
    <w:rsid w:val="00843781"/>
    <w:rsid w:val="00843D0E"/>
    <w:rsid w:val="00843E2A"/>
    <w:rsid w:val="008445A2"/>
    <w:rsid w:val="00844C24"/>
    <w:rsid w:val="008455F2"/>
    <w:rsid w:val="00847054"/>
    <w:rsid w:val="008506E0"/>
    <w:rsid w:val="00850877"/>
    <w:rsid w:val="00850B7F"/>
    <w:rsid w:val="00850F25"/>
    <w:rsid w:val="00851800"/>
    <w:rsid w:val="00851A9B"/>
    <w:rsid w:val="00852205"/>
    <w:rsid w:val="008529A2"/>
    <w:rsid w:val="00852D46"/>
    <w:rsid w:val="008531D8"/>
    <w:rsid w:val="008534AA"/>
    <w:rsid w:val="00853BD7"/>
    <w:rsid w:val="0085446A"/>
    <w:rsid w:val="00854929"/>
    <w:rsid w:val="00855821"/>
    <w:rsid w:val="00856D04"/>
    <w:rsid w:val="008579EA"/>
    <w:rsid w:val="00857E5A"/>
    <w:rsid w:val="00860690"/>
    <w:rsid w:val="00860C46"/>
    <w:rsid w:val="00860D67"/>
    <w:rsid w:val="00861016"/>
    <w:rsid w:val="008612EF"/>
    <w:rsid w:val="0086241B"/>
    <w:rsid w:val="00862B6B"/>
    <w:rsid w:val="008634A7"/>
    <w:rsid w:val="00864801"/>
    <w:rsid w:val="00864807"/>
    <w:rsid w:val="00865805"/>
    <w:rsid w:val="00866CD3"/>
    <w:rsid w:val="00866EF0"/>
    <w:rsid w:val="0087108C"/>
    <w:rsid w:val="008719C2"/>
    <w:rsid w:val="00871D3B"/>
    <w:rsid w:val="008724DF"/>
    <w:rsid w:val="00872916"/>
    <w:rsid w:val="0087300A"/>
    <w:rsid w:val="00873263"/>
    <w:rsid w:val="008747FB"/>
    <w:rsid w:val="0087531E"/>
    <w:rsid w:val="00880227"/>
    <w:rsid w:val="00880444"/>
    <w:rsid w:val="00880EF6"/>
    <w:rsid w:val="008817CB"/>
    <w:rsid w:val="008849DA"/>
    <w:rsid w:val="00884FF7"/>
    <w:rsid w:val="00886D46"/>
    <w:rsid w:val="0088727F"/>
    <w:rsid w:val="008872AD"/>
    <w:rsid w:val="00887C9C"/>
    <w:rsid w:val="008907E7"/>
    <w:rsid w:val="00890C31"/>
    <w:rsid w:val="00891402"/>
    <w:rsid w:val="0089143B"/>
    <w:rsid w:val="00892EAD"/>
    <w:rsid w:val="008940EC"/>
    <w:rsid w:val="00894ACE"/>
    <w:rsid w:val="00896870"/>
    <w:rsid w:val="008A0E20"/>
    <w:rsid w:val="008A18C5"/>
    <w:rsid w:val="008A2ECA"/>
    <w:rsid w:val="008A6129"/>
    <w:rsid w:val="008A692C"/>
    <w:rsid w:val="008A76D9"/>
    <w:rsid w:val="008B00EF"/>
    <w:rsid w:val="008B0D2F"/>
    <w:rsid w:val="008B0EED"/>
    <w:rsid w:val="008B19D9"/>
    <w:rsid w:val="008B1FD3"/>
    <w:rsid w:val="008B204B"/>
    <w:rsid w:val="008B31E6"/>
    <w:rsid w:val="008B64EE"/>
    <w:rsid w:val="008B66C2"/>
    <w:rsid w:val="008B675E"/>
    <w:rsid w:val="008B6AAA"/>
    <w:rsid w:val="008B6AC7"/>
    <w:rsid w:val="008C098E"/>
    <w:rsid w:val="008C10B6"/>
    <w:rsid w:val="008C1252"/>
    <w:rsid w:val="008C2F78"/>
    <w:rsid w:val="008C3701"/>
    <w:rsid w:val="008C3AE3"/>
    <w:rsid w:val="008C49AE"/>
    <w:rsid w:val="008C4C8F"/>
    <w:rsid w:val="008C50EC"/>
    <w:rsid w:val="008C57A9"/>
    <w:rsid w:val="008C59F7"/>
    <w:rsid w:val="008C5F42"/>
    <w:rsid w:val="008C6C1C"/>
    <w:rsid w:val="008C7D5C"/>
    <w:rsid w:val="008C7DD3"/>
    <w:rsid w:val="008D091F"/>
    <w:rsid w:val="008D198A"/>
    <w:rsid w:val="008D1B86"/>
    <w:rsid w:val="008D213A"/>
    <w:rsid w:val="008D258B"/>
    <w:rsid w:val="008D25D0"/>
    <w:rsid w:val="008D2851"/>
    <w:rsid w:val="008D2912"/>
    <w:rsid w:val="008D30A1"/>
    <w:rsid w:val="008D356D"/>
    <w:rsid w:val="008D3FE0"/>
    <w:rsid w:val="008D47E9"/>
    <w:rsid w:val="008D4AD1"/>
    <w:rsid w:val="008D4C2E"/>
    <w:rsid w:val="008D67EA"/>
    <w:rsid w:val="008D6FE0"/>
    <w:rsid w:val="008D759E"/>
    <w:rsid w:val="008E0005"/>
    <w:rsid w:val="008E1197"/>
    <w:rsid w:val="008E153D"/>
    <w:rsid w:val="008E21B9"/>
    <w:rsid w:val="008E27DF"/>
    <w:rsid w:val="008E2A65"/>
    <w:rsid w:val="008E2F49"/>
    <w:rsid w:val="008E51CB"/>
    <w:rsid w:val="008E70CF"/>
    <w:rsid w:val="008E74DD"/>
    <w:rsid w:val="008E7687"/>
    <w:rsid w:val="008E76D8"/>
    <w:rsid w:val="008F0E3C"/>
    <w:rsid w:val="008F11FA"/>
    <w:rsid w:val="008F19B3"/>
    <w:rsid w:val="008F1F52"/>
    <w:rsid w:val="008F21B8"/>
    <w:rsid w:val="008F251C"/>
    <w:rsid w:val="008F28F8"/>
    <w:rsid w:val="008F2C18"/>
    <w:rsid w:val="008F2F51"/>
    <w:rsid w:val="008F33AE"/>
    <w:rsid w:val="008F47DB"/>
    <w:rsid w:val="008F4ACA"/>
    <w:rsid w:val="008F4E07"/>
    <w:rsid w:val="008F52F4"/>
    <w:rsid w:val="008F5CF9"/>
    <w:rsid w:val="008F6CA6"/>
    <w:rsid w:val="008F6F53"/>
    <w:rsid w:val="008F70E5"/>
    <w:rsid w:val="008F791F"/>
    <w:rsid w:val="00900CA6"/>
    <w:rsid w:val="00901B04"/>
    <w:rsid w:val="00902208"/>
    <w:rsid w:val="009024D3"/>
    <w:rsid w:val="009025FA"/>
    <w:rsid w:val="009026E7"/>
    <w:rsid w:val="009027FE"/>
    <w:rsid w:val="009030BA"/>
    <w:rsid w:val="009039E5"/>
    <w:rsid w:val="0090411C"/>
    <w:rsid w:val="0090445B"/>
    <w:rsid w:val="00904A44"/>
    <w:rsid w:val="00904D8C"/>
    <w:rsid w:val="00905090"/>
    <w:rsid w:val="0090549D"/>
    <w:rsid w:val="00905833"/>
    <w:rsid w:val="009058BD"/>
    <w:rsid w:val="0090612F"/>
    <w:rsid w:val="00907934"/>
    <w:rsid w:val="00910DFE"/>
    <w:rsid w:val="00911EAC"/>
    <w:rsid w:val="00912A81"/>
    <w:rsid w:val="00912D0A"/>
    <w:rsid w:val="00912DEA"/>
    <w:rsid w:val="00912F98"/>
    <w:rsid w:val="0091379B"/>
    <w:rsid w:val="009144C3"/>
    <w:rsid w:val="009145D2"/>
    <w:rsid w:val="00914850"/>
    <w:rsid w:val="0091549B"/>
    <w:rsid w:val="0091612A"/>
    <w:rsid w:val="00917BAE"/>
    <w:rsid w:val="00917EB0"/>
    <w:rsid w:val="00917FBB"/>
    <w:rsid w:val="009203D6"/>
    <w:rsid w:val="009219CA"/>
    <w:rsid w:val="009223D3"/>
    <w:rsid w:val="009225A7"/>
    <w:rsid w:val="00923140"/>
    <w:rsid w:val="00923A84"/>
    <w:rsid w:val="00924030"/>
    <w:rsid w:val="00924D77"/>
    <w:rsid w:val="00925716"/>
    <w:rsid w:val="00926086"/>
    <w:rsid w:val="0092666C"/>
    <w:rsid w:val="00930531"/>
    <w:rsid w:val="00930FCE"/>
    <w:rsid w:val="009310CF"/>
    <w:rsid w:val="009316EE"/>
    <w:rsid w:val="00931D7A"/>
    <w:rsid w:val="009322E3"/>
    <w:rsid w:val="00932704"/>
    <w:rsid w:val="0093366A"/>
    <w:rsid w:val="00935451"/>
    <w:rsid w:val="00935ADA"/>
    <w:rsid w:val="00935D8D"/>
    <w:rsid w:val="0093717E"/>
    <w:rsid w:val="00940310"/>
    <w:rsid w:val="00940586"/>
    <w:rsid w:val="00941403"/>
    <w:rsid w:val="009415A8"/>
    <w:rsid w:val="00942C89"/>
    <w:rsid w:val="00942FE8"/>
    <w:rsid w:val="00943655"/>
    <w:rsid w:val="0094475B"/>
    <w:rsid w:val="00945187"/>
    <w:rsid w:val="00945475"/>
    <w:rsid w:val="00945F46"/>
    <w:rsid w:val="0094691D"/>
    <w:rsid w:val="00946C96"/>
    <w:rsid w:val="009478E9"/>
    <w:rsid w:val="0095039F"/>
    <w:rsid w:val="00950A40"/>
    <w:rsid w:val="00951303"/>
    <w:rsid w:val="009517E7"/>
    <w:rsid w:val="0095483A"/>
    <w:rsid w:val="0095498A"/>
    <w:rsid w:val="00955014"/>
    <w:rsid w:val="009567E2"/>
    <w:rsid w:val="00956A01"/>
    <w:rsid w:val="00956D54"/>
    <w:rsid w:val="0095742D"/>
    <w:rsid w:val="0095761F"/>
    <w:rsid w:val="00957E70"/>
    <w:rsid w:val="00960599"/>
    <w:rsid w:val="00960C11"/>
    <w:rsid w:val="00960CF5"/>
    <w:rsid w:val="00960D3F"/>
    <w:rsid w:val="00960D4C"/>
    <w:rsid w:val="00963601"/>
    <w:rsid w:val="0096400C"/>
    <w:rsid w:val="009648C5"/>
    <w:rsid w:val="00964BA5"/>
    <w:rsid w:val="00964EC6"/>
    <w:rsid w:val="009655CB"/>
    <w:rsid w:val="00967088"/>
    <w:rsid w:val="00967537"/>
    <w:rsid w:val="00970286"/>
    <w:rsid w:val="00970AAF"/>
    <w:rsid w:val="00970DAB"/>
    <w:rsid w:val="009721BD"/>
    <w:rsid w:val="00972403"/>
    <w:rsid w:val="00972561"/>
    <w:rsid w:val="0097321D"/>
    <w:rsid w:val="00973B47"/>
    <w:rsid w:val="0097400A"/>
    <w:rsid w:val="00974F44"/>
    <w:rsid w:val="00976152"/>
    <w:rsid w:val="00977198"/>
    <w:rsid w:val="00977481"/>
    <w:rsid w:val="0098036F"/>
    <w:rsid w:val="00981723"/>
    <w:rsid w:val="00981C0E"/>
    <w:rsid w:val="00982283"/>
    <w:rsid w:val="00982A15"/>
    <w:rsid w:val="0098312E"/>
    <w:rsid w:val="0098317D"/>
    <w:rsid w:val="0098338A"/>
    <w:rsid w:val="009837FF"/>
    <w:rsid w:val="00985096"/>
    <w:rsid w:val="009854C4"/>
    <w:rsid w:val="00985FA4"/>
    <w:rsid w:val="009861CA"/>
    <w:rsid w:val="009869CF"/>
    <w:rsid w:val="00986F1A"/>
    <w:rsid w:val="0098707C"/>
    <w:rsid w:val="00990EBC"/>
    <w:rsid w:val="00991277"/>
    <w:rsid w:val="009913F4"/>
    <w:rsid w:val="00992531"/>
    <w:rsid w:val="00992B16"/>
    <w:rsid w:val="00992D6A"/>
    <w:rsid w:val="00993E18"/>
    <w:rsid w:val="00995CD5"/>
    <w:rsid w:val="00996D4F"/>
    <w:rsid w:val="00997602"/>
    <w:rsid w:val="00997E4C"/>
    <w:rsid w:val="009A09BA"/>
    <w:rsid w:val="009A0CB3"/>
    <w:rsid w:val="009A16DD"/>
    <w:rsid w:val="009A1787"/>
    <w:rsid w:val="009A1D4D"/>
    <w:rsid w:val="009A20C5"/>
    <w:rsid w:val="009A2182"/>
    <w:rsid w:val="009A26AF"/>
    <w:rsid w:val="009A4F5A"/>
    <w:rsid w:val="009A5BE8"/>
    <w:rsid w:val="009A74C7"/>
    <w:rsid w:val="009A77D4"/>
    <w:rsid w:val="009B1372"/>
    <w:rsid w:val="009B1F44"/>
    <w:rsid w:val="009B25E9"/>
    <w:rsid w:val="009B2722"/>
    <w:rsid w:val="009B2E5E"/>
    <w:rsid w:val="009B367E"/>
    <w:rsid w:val="009B431E"/>
    <w:rsid w:val="009B4573"/>
    <w:rsid w:val="009B54B2"/>
    <w:rsid w:val="009B644B"/>
    <w:rsid w:val="009B67C5"/>
    <w:rsid w:val="009B6E3D"/>
    <w:rsid w:val="009B7245"/>
    <w:rsid w:val="009B7E3B"/>
    <w:rsid w:val="009C002A"/>
    <w:rsid w:val="009C0544"/>
    <w:rsid w:val="009C1432"/>
    <w:rsid w:val="009C20A8"/>
    <w:rsid w:val="009C2F54"/>
    <w:rsid w:val="009C48C2"/>
    <w:rsid w:val="009C4FB1"/>
    <w:rsid w:val="009C50C7"/>
    <w:rsid w:val="009C50EB"/>
    <w:rsid w:val="009C5156"/>
    <w:rsid w:val="009C6E4F"/>
    <w:rsid w:val="009D09B3"/>
    <w:rsid w:val="009D0A4D"/>
    <w:rsid w:val="009D1057"/>
    <w:rsid w:val="009D1363"/>
    <w:rsid w:val="009D3454"/>
    <w:rsid w:val="009D35D2"/>
    <w:rsid w:val="009D3B9D"/>
    <w:rsid w:val="009D4C27"/>
    <w:rsid w:val="009D52CA"/>
    <w:rsid w:val="009D531E"/>
    <w:rsid w:val="009D6B74"/>
    <w:rsid w:val="009D6B8B"/>
    <w:rsid w:val="009D7169"/>
    <w:rsid w:val="009E18A1"/>
    <w:rsid w:val="009E22D5"/>
    <w:rsid w:val="009E278C"/>
    <w:rsid w:val="009E2867"/>
    <w:rsid w:val="009E2B7E"/>
    <w:rsid w:val="009E2BEF"/>
    <w:rsid w:val="009E30C7"/>
    <w:rsid w:val="009E31A9"/>
    <w:rsid w:val="009E58E9"/>
    <w:rsid w:val="009E5B47"/>
    <w:rsid w:val="009E5F16"/>
    <w:rsid w:val="009E64A9"/>
    <w:rsid w:val="009E68F5"/>
    <w:rsid w:val="009E6FEC"/>
    <w:rsid w:val="009F05CC"/>
    <w:rsid w:val="009F078B"/>
    <w:rsid w:val="009F1844"/>
    <w:rsid w:val="009F28FB"/>
    <w:rsid w:val="009F2EE3"/>
    <w:rsid w:val="009F338B"/>
    <w:rsid w:val="009F4027"/>
    <w:rsid w:val="009F44C6"/>
    <w:rsid w:val="009F4C4F"/>
    <w:rsid w:val="009F5E8C"/>
    <w:rsid w:val="009F5FA7"/>
    <w:rsid w:val="009F628A"/>
    <w:rsid w:val="009F656E"/>
    <w:rsid w:val="009F6697"/>
    <w:rsid w:val="009F671B"/>
    <w:rsid w:val="009F6B76"/>
    <w:rsid w:val="009F6EDC"/>
    <w:rsid w:val="00A023D6"/>
    <w:rsid w:val="00A025FC"/>
    <w:rsid w:val="00A0288F"/>
    <w:rsid w:val="00A0329B"/>
    <w:rsid w:val="00A035CE"/>
    <w:rsid w:val="00A0388C"/>
    <w:rsid w:val="00A04D6C"/>
    <w:rsid w:val="00A050CE"/>
    <w:rsid w:val="00A0537F"/>
    <w:rsid w:val="00A0602E"/>
    <w:rsid w:val="00A06607"/>
    <w:rsid w:val="00A06C1F"/>
    <w:rsid w:val="00A06EA3"/>
    <w:rsid w:val="00A072A7"/>
    <w:rsid w:val="00A07FFA"/>
    <w:rsid w:val="00A1037A"/>
    <w:rsid w:val="00A10FDB"/>
    <w:rsid w:val="00A11FB4"/>
    <w:rsid w:val="00A126CD"/>
    <w:rsid w:val="00A1349E"/>
    <w:rsid w:val="00A13C47"/>
    <w:rsid w:val="00A147E8"/>
    <w:rsid w:val="00A150BA"/>
    <w:rsid w:val="00A1550B"/>
    <w:rsid w:val="00A175AF"/>
    <w:rsid w:val="00A1766C"/>
    <w:rsid w:val="00A2031F"/>
    <w:rsid w:val="00A205C9"/>
    <w:rsid w:val="00A20C69"/>
    <w:rsid w:val="00A22028"/>
    <w:rsid w:val="00A2268D"/>
    <w:rsid w:val="00A228CC"/>
    <w:rsid w:val="00A22AB3"/>
    <w:rsid w:val="00A22C87"/>
    <w:rsid w:val="00A23437"/>
    <w:rsid w:val="00A23780"/>
    <w:rsid w:val="00A23C76"/>
    <w:rsid w:val="00A23E62"/>
    <w:rsid w:val="00A23E99"/>
    <w:rsid w:val="00A2599A"/>
    <w:rsid w:val="00A25AA5"/>
    <w:rsid w:val="00A25D22"/>
    <w:rsid w:val="00A30055"/>
    <w:rsid w:val="00A305C9"/>
    <w:rsid w:val="00A311E1"/>
    <w:rsid w:val="00A31255"/>
    <w:rsid w:val="00A322B1"/>
    <w:rsid w:val="00A347DE"/>
    <w:rsid w:val="00A35782"/>
    <w:rsid w:val="00A35D4B"/>
    <w:rsid w:val="00A35F08"/>
    <w:rsid w:val="00A362F9"/>
    <w:rsid w:val="00A36EC9"/>
    <w:rsid w:val="00A41AA0"/>
    <w:rsid w:val="00A436EC"/>
    <w:rsid w:val="00A43739"/>
    <w:rsid w:val="00A43CC0"/>
    <w:rsid w:val="00A43EE6"/>
    <w:rsid w:val="00A4421D"/>
    <w:rsid w:val="00A443EF"/>
    <w:rsid w:val="00A44402"/>
    <w:rsid w:val="00A44445"/>
    <w:rsid w:val="00A4464E"/>
    <w:rsid w:val="00A44796"/>
    <w:rsid w:val="00A459EC"/>
    <w:rsid w:val="00A45BD1"/>
    <w:rsid w:val="00A46241"/>
    <w:rsid w:val="00A46378"/>
    <w:rsid w:val="00A46CDA"/>
    <w:rsid w:val="00A477D7"/>
    <w:rsid w:val="00A47B8F"/>
    <w:rsid w:val="00A47C6F"/>
    <w:rsid w:val="00A5042C"/>
    <w:rsid w:val="00A51070"/>
    <w:rsid w:val="00A5162D"/>
    <w:rsid w:val="00A5165F"/>
    <w:rsid w:val="00A518AF"/>
    <w:rsid w:val="00A51BED"/>
    <w:rsid w:val="00A52A0B"/>
    <w:rsid w:val="00A5454C"/>
    <w:rsid w:val="00A5596F"/>
    <w:rsid w:val="00A571ED"/>
    <w:rsid w:val="00A577FE"/>
    <w:rsid w:val="00A57A24"/>
    <w:rsid w:val="00A6001B"/>
    <w:rsid w:val="00A60E67"/>
    <w:rsid w:val="00A60F49"/>
    <w:rsid w:val="00A611A4"/>
    <w:rsid w:val="00A61E15"/>
    <w:rsid w:val="00A64058"/>
    <w:rsid w:val="00A6451E"/>
    <w:rsid w:val="00A64CF3"/>
    <w:rsid w:val="00A66F91"/>
    <w:rsid w:val="00A67A36"/>
    <w:rsid w:val="00A701DA"/>
    <w:rsid w:val="00A70229"/>
    <w:rsid w:val="00A70723"/>
    <w:rsid w:val="00A708A1"/>
    <w:rsid w:val="00A7090F"/>
    <w:rsid w:val="00A71790"/>
    <w:rsid w:val="00A718F5"/>
    <w:rsid w:val="00A72BBA"/>
    <w:rsid w:val="00A739CB"/>
    <w:rsid w:val="00A7470E"/>
    <w:rsid w:val="00A74B2C"/>
    <w:rsid w:val="00A76BF6"/>
    <w:rsid w:val="00A76D27"/>
    <w:rsid w:val="00A773C9"/>
    <w:rsid w:val="00A77994"/>
    <w:rsid w:val="00A77AE6"/>
    <w:rsid w:val="00A77AFC"/>
    <w:rsid w:val="00A80A9A"/>
    <w:rsid w:val="00A80D88"/>
    <w:rsid w:val="00A8152B"/>
    <w:rsid w:val="00A82190"/>
    <w:rsid w:val="00A8308E"/>
    <w:rsid w:val="00A83257"/>
    <w:rsid w:val="00A83275"/>
    <w:rsid w:val="00A84D92"/>
    <w:rsid w:val="00A84DFB"/>
    <w:rsid w:val="00A85592"/>
    <w:rsid w:val="00A856BE"/>
    <w:rsid w:val="00A85716"/>
    <w:rsid w:val="00A857C1"/>
    <w:rsid w:val="00A857ED"/>
    <w:rsid w:val="00A85EEE"/>
    <w:rsid w:val="00A87B4E"/>
    <w:rsid w:val="00A90659"/>
    <w:rsid w:val="00A906ED"/>
    <w:rsid w:val="00A91181"/>
    <w:rsid w:val="00A917FE"/>
    <w:rsid w:val="00A918D1"/>
    <w:rsid w:val="00A9233D"/>
    <w:rsid w:val="00A92C3B"/>
    <w:rsid w:val="00A92E1B"/>
    <w:rsid w:val="00A93539"/>
    <w:rsid w:val="00A9356A"/>
    <w:rsid w:val="00A938ED"/>
    <w:rsid w:val="00A93A9A"/>
    <w:rsid w:val="00A93FA1"/>
    <w:rsid w:val="00A9541A"/>
    <w:rsid w:val="00A959A1"/>
    <w:rsid w:val="00A95B10"/>
    <w:rsid w:val="00A95EAC"/>
    <w:rsid w:val="00A95F27"/>
    <w:rsid w:val="00A967A7"/>
    <w:rsid w:val="00A968C9"/>
    <w:rsid w:val="00AA00E0"/>
    <w:rsid w:val="00AA17F6"/>
    <w:rsid w:val="00AA19F9"/>
    <w:rsid w:val="00AA24DB"/>
    <w:rsid w:val="00AA2D0C"/>
    <w:rsid w:val="00AA34CB"/>
    <w:rsid w:val="00AA4CB2"/>
    <w:rsid w:val="00AA4DC5"/>
    <w:rsid w:val="00AA52F0"/>
    <w:rsid w:val="00AA540D"/>
    <w:rsid w:val="00AA5C16"/>
    <w:rsid w:val="00AA5DAE"/>
    <w:rsid w:val="00AA70E0"/>
    <w:rsid w:val="00AA7BF0"/>
    <w:rsid w:val="00AA7D75"/>
    <w:rsid w:val="00AA7DFE"/>
    <w:rsid w:val="00AB0858"/>
    <w:rsid w:val="00AB1310"/>
    <w:rsid w:val="00AB1862"/>
    <w:rsid w:val="00AB24CC"/>
    <w:rsid w:val="00AB2A3E"/>
    <w:rsid w:val="00AB2C02"/>
    <w:rsid w:val="00AB360E"/>
    <w:rsid w:val="00AB3E33"/>
    <w:rsid w:val="00AB3EE2"/>
    <w:rsid w:val="00AB51A6"/>
    <w:rsid w:val="00AB6F21"/>
    <w:rsid w:val="00AB7C90"/>
    <w:rsid w:val="00AC0471"/>
    <w:rsid w:val="00AC1D77"/>
    <w:rsid w:val="00AC2454"/>
    <w:rsid w:val="00AC257E"/>
    <w:rsid w:val="00AC2C15"/>
    <w:rsid w:val="00AC2CB0"/>
    <w:rsid w:val="00AC3016"/>
    <w:rsid w:val="00AC31D4"/>
    <w:rsid w:val="00AC4A6F"/>
    <w:rsid w:val="00AC4F5A"/>
    <w:rsid w:val="00AC5D64"/>
    <w:rsid w:val="00AC6098"/>
    <w:rsid w:val="00AC6186"/>
    <w:rsid w:val="00AC6E63"/>
    <w:rsid w:val="00AC797A"/>
    <w:rsid w:val="00AC7EF3"/>
    <w:rsid w:val="00AC7F15"/>
    <w:rsid w:val="00AD024A"/>
    <w:rsid w:val="00AD02C1"/>
    <w:rsid w:val="00AD0713"/>
    <w:rsid w:val="00AD0B4E"/>
    <w:rsid w:val="00AD1B62"/>
    <w:rsid w:val="00AD2458"/>
    <w:rsid w:val="00AD26AF"/>
    <w:rsid w:val="00AD287B"/>
    <w:rsid w:val="00AD3B26"/>
    <w:rsid w:val="00AD473F"/>
    <w:rsid w:val="00AD55B8"/>
    <w:rsid w:val="00AD5ABF"/>
    <w:rsid w:val="00AD6431"/>
    <w:rsid w:val="00AD6584"/>
    <w:rsid w:val="00AE0190"/>
    <w:rsid w:val="00AE1609"/>
    <w:rsid w:val="00AE279D"/>
    <w:rsid w:val="00AE2BF6"/>
    <w:rsid w:val="00AE3370"/>
    <w:rsid w:val="00AE3AFA"/>
    <w:rsid w:val="00AE4214"/>
    <w:rsid w:val="00AE64CA"/>
    <w:rsid w:val="00AE6B25"/>
    <w:rsid w:val="00AE7933"/>
    <w:rsid w:val="00AF02B7"/>
    <w:rsid w:val="00AF0336"/>
    <w:rsid w:val="00AF049A"/>
    <w:rsid w:val="00AF07E6"/>
    <w:rsid w:val="00AF1950"/>
    <w:rsid w:val="00AF2A3C"/>
    <w:rsid w:val="00AF3173"/>
    <w:rsid w:val="00AF34A1"/>
    <w:rsid w:val="00AF5171"/>
    <w:rsid w:val="00AF57D4"/>
    <w:rsid w:val="00AF64A9"/>
    <w:rsid w:val="00AF6592"/>
    <w:rsid w:val="00AF7092"/>
    <w:rsid w:val="00AF72D5"/>
    <w:rsid w:val="00AF743D"/>
    <w:rsid w:val="00AF7ED2"/>
    <w:rsid w:val="00B0081A"/>
    <w:rsid w:val="00B00AAA"/>
    <w:rsid w:val="00B011F8"/>
    <w:rsid w:val="00B020B6"/>
    <w:rsid w:val="00B02DEE"/>
    <w:rsid w:val="00B0571A"/>
    <w:rsid w:val="00B05FEB"/>
    <w:rsid w:val="00B05FFC"/>
    <w:rsid w:val="00B071CC"/>
    <w:rsid w:val="00B10470"/>
    <w:rsid w:val="00B109C1"/>
    <w:rsid w:val="00B10CE9"/>
    <w:rsid w:val="00B10E0C"/>
    <w:rsid w:val="00B11367"/>
    <w:rsid w:val="00B119CE"/>
    <w:rsid w:val="00B11BE0"/>
    <w:rsid w:val="00B11BFB"/>
    <w:rsid w:val="00B11D9D"/>
    <w:rsid w:val="00B120DE"/>
    <w:rsid w:val="00B123E6"/>
    <w:rsid w:val="00B12A25"/>
    <w:rsid w:val="00B1324D"/>
    <w:rsid w:val="00B15765"/>
    <w:rsid w:val="00B157E2"/>
    <w:rsid w:val="00B162D0"/>
    <w:rsid w:val="00B16FC0"/>
    <w:rsid w:val="00B1768B"/>
    <w:rsid w:val="00B17E01"/>
    <w:rsid w:val="00B2117A"/>
    <w:rsid w:val="00B222C2"/>
    <w:rsid w:val="00B22C01"/>
    <w:rsid w:val="00B238BB"/>
    <w:rsid w:val="00B241D1"/>
    <w:rsid w:val="00B24A45"/>
    <w:rsid w:val="00B25B92"/>
    <w:rsid w:val="00B260B2"/>
    <w:rsid w:val="00B26948"/>
    <w:rsid w:val="00B26D31"/>
    <w:rsid w:val="00B3105A"/>
    <w:rsid w:val="00B31305"/>
    <w:rsid w:val="00B32373"/>
    <w:rsid w:val="00B33933"/>
    <w:rsid w:val="00B34D51"/>
    <w:rsid w:val="00B364A3"/>
    <w:rsid w:val="00B36535"/>
    <w:rsid w:val="00B36556"/>
    <w:rsid w:val="00B36755"/>
    <w:rsid w:val="00B36780"/>
    <w:rsid w:val="00B36A0E"/>
    <w:rsid w:val="00B36A6F"/>
    <w:rsid w:val="00B36BA1"/>
    <w:rsid w:val="00B36C3F"/>
    <w:rsid w:val="00B40161"/>
    <w:rsid w:val="00B40D67"/>
    <w:rsid w:val="00B40E3F"/>
    <w:rsid w:val="00B410D5"/>
    <w:rsid w:val="00B41356"/>
    <w:rsid w:val="00B414F3"/>
    <w:rsid w:val="00B429BF"/>
    <w:rsid w:val="00B42FE3"/>
    <w:rsid w:val="00B43177"/>
    <w:rsid w:val="00B43256"/>
    <w:rsid w:val="00B433FF"/>
    <w:rsid w:val="00B434A0"/>
    <w:rsid w:val="00B43C45"/>
    <w:rsid w:val="00B44120"/>
    <w:rsid w:val="00B44B1C"/>
    <w:rsid w:val="00B45DE2"/>
    <w:rsid w:val="00B45F87"/>
    <w:rsid w:val="00B46376"/>
    <w:rsid w:val="00B463BF"/>
    <w:rsid w:val="00B4687C"/>
    <w:rsid w:val="00B46BF5"/>
    <w:rsid w:val="00B4780B"/>
    <w:rsid w:val="00B478DD"/>
    <w:rsid w:val="00B50472"/>
    <w:rsid w:val="00B50B81"/>
    <w:rsid w:val="00B50FA9"/>
    <w:rsid w:val="00B50FC0"/>
    <w:rsid w:val="00B514FE"/>
    <w:rsid w:val="00B51A0F"/>
    <w:rsid w:val="00B52A38"/>
    <w:rsid w:val="00B52C29"/>
    <w:rsid w:val="00B532FD"/>
    <w:rsid w:val="00B533A0"/>
    <w:rsid w:val="00B54155"/>
    <w:rsid w:val="00B54C51"/>
    <w:rsid w:val="00B555A7"/>
    <w:rsid w:val="00B55EE8"/>
    <w:rsid w:val="00B56E6C"/>
    <w:rsid w:val="00B57714"/>
    <w:rsid w:val="00B57FE2"/>
    <w:rsid w:val="00B6014F"/>
    <w:rsid w:val="00B61137"/>
    <w:rsid w:val="00B626D4"/>
    <w:rsid w:val="00B62CB1"/>
    <w:rsid w:val="00B63469"/>
    <w:rsid w:val="00B63D0E"/>
    <w:rsid w:val="00B643AF"/>
    <w:rsid w:val="00B6467F"/>
    <w:rsid w:val="00B659AC"/>
    <w:rsid w:val="00B6619D"/>
    <w:rsid w:val="00B6622A"/>
    <w:rsid w:val="00B66AEF"/>
    <w:rsid w:val="00B700C0"/>
    <w:rsid w:val="00B70219"/>
    <w:rsid w:val="00B70EF5"/>
    <w:rsid w:val="00B71B2A"/>
    <w:rsid w:val="00B725C7"/>
    <w:rsid w:val="00B72858"/>
    <w:rsid w:val="00B72B96"/>
    <w:rsid w:val="00B72DD0"/>
    <w:rsid w:val="00B736DF"/>
    <w:rsid w:val="00B73C76"/>
    <w:rsid w:val="00B73D97"/>
    <w:rsid w:val="00B74047"/>
    <w:rsid w:val="00B744B8"/>
    <w:rsid w:val="00B7472B"/>
    <w:rsid w:val="00B74AAB"/>
    <w:rsid w:val="00B74AEF"/>
    <w:rsid w:val="00B80553"/>
    <w:rsid w:val="00B806D6"/>
    <w:rsid w:val="00B81801"/>
    <w:rsid w:val="00B82B47"/>
    <w:rsid w:val="00B83039"/>
    <w:rsid w:val="00B831FF"/>
    <w:rsid w:val="00B83320"/>
    <w:rsid w:val="00B83AA5"/>
    <w:rsid w:val="00B84862"/>
    <w:rsid w:val="00B8574E"/>
    <w:rsid w:val="00B85FF8"/>
    <w:rsid w:val="00B86951"/>
    <w:rsid w:val="00B86BB1"/>
    <w:rsid w:val="00B87925"/>
    <w:rsid w:val="00B87E49"/>
    <w:rsid w:val="00B903D9"/>
    <w:rsid w:val="00B906BE"/>
    <w:rsid w:val="00B90B88"/>
    <w:rsid w:val="00B930C8"/>
    <w:rsid w:val="00B946C4"/>
    <w:rsid w:val="00B9566D"/>
    <w:rsid w:val="00B97897"/>
    <w:rsid w:val="00BA0432"/>
    <w:rsid w:val="00BA233D"/>
    <w:rsid w:val="00BA27E7"/>
    <w:rsid w:val="00BA2A56"/>
    <w:rsid w:val="00BA2C79"/>
    <w:rsid w:val="00BA337D"/>
    <w:rsid w:val="00BA43CE"/>
    <w:rsid w:val="00BA4719"/>
    <w:rsid w:val="00BA5B00"/>
    <w:rsid w:val="00BA63E3"/>
    <w:rsid w:val="00BA6A23"/>
    <w:rsid w:val="00BA6B4C"/>
    <w:rsid w:val="00BA7B22"/>
    <w:rsid w:val="00BA7EF3"/>
    <w:rsid w:val="00BB0B6B"/>
    <w:rsid w:val="00BB147C"/>
    <w:rsid w:val="00BB1A07"/>
    <w:rsid w:val="00BB1B6C"/>
    <w:rsid w:val="00BB6DAD"/>
    <w:rsid w:val="00BB7346"/>
    <w:rsid w:val="00BB73A5"/>
    <w:rsid w:val="00BB7CBE"/>
    <w:rsid w:val="00BC1555"/>
    <w:rsid w:val="00BC1772"/>
    <w:rsid w:val="00BC20EE"/>
    <w:rsid w:val="00BC35BF"/>
    <w:rsid w:val="00BC5A47"/>
    <w:rsid w:val="00BC5FD0"/>
    <w:rsid w:val="00BC60A9"/>
    <w:rsid w:val="00BC7AAA"/>
    <w:rsid w:val="00BC7CDD"/>
    <w:rsid w:val="00BD0717"/>
    <w:rsid w:val="00BD11BC"/>
    <w:rsid w:val="00BD1915"/>
    <w:rsid w:val="00BD368A"/>
    <w:rsid w:val="00BD37B5"/>
    <w:rsid w:val="00BD426E"/>
    <w:rsid w:val="00BD4B01"/>
    <w:rsid w:val="00BD4B32"/>
    <w:rsid w:val="00BD4C31"/>
    <w:rsid w:val="00BD52F6"/>
    <w:rsid w:val="00BD5735"/>
    <w:rsid w:val="00BD5CD7"/>
    <w:rsid w:val="00BD5D06"/>
    <w:rsid w:val="00BD655B"/>
    <w:rsid w:val="00BD7B2C"/>
    <w:rsid w:val="00BD7E20"/>
    <w:rsid w:val="00BE072F"/>
    <w:rsid w:val="00BE0993"/>
    <w:rsid w:val="00BE0C8A"/>
    <w:rsid w:val="00BE1A88"/>
    <w:rsid w:val="00BE334D"/>
    <w:rsid w:val="00BE4988"/>
    <w:rsid w:val="00BE6120"/>
    <w:rsid w:val="00BE6295"/>
    <w:rsid w:val="00BE6460"/>
    <w:rsid w:val="00BE6808"/>
    <w:rsid w:val="00BE7000"/>
    <w:rsid w:val="00BE7665"/>
    <w:rsid w:val="00BE7AA8"/>
    <w:rsid w:val="00BF0631"/>
    <w:rsid w:val="00BF1C24"/>
    <w:rsid w:val="00BF1DF8"/>
    <w:rsid w:val="00BF2A9B"/>
    <w:rsid w:val="00BF2CB7"/>
    <w:rsid w:val="00BF2E95"/>
    <w:rsid w:val="00BF2ECA"/>
    <w:rsid w:val="00BF4308"/>
    <w:rsid w:val="00BF55BE"/>
    <w:rsid w:val="00BF5E73"/>
    <w:rsid w:val="00BF5FE9"/>
    <w:rsid w:val="00BF6E6F"/>
    <w:rsid w:val="00BF6F05"/>
    <w:rsid w:val="00BF763F"/>
    <w:rsid w:val="00C00522"/>
    <w:rsid w:val="00C00CC5"/>
    <w:rsid w:val="00C042C1"/>
    <w:rsid w:val="00C0464B"/>
    <w:rsid w:val="00C05817"/>
    <w:rsid w:val="00C058B4"/>
    <w:rsid w:val="00C06325"/>
    <w:rsid w:val="00C0638B"/>
    <w:rsid w:val="00C06939"/>
    <w:rsid w:val="00C069B4"/>
    <w:rsid w:val="00C06EBC"/>
    <w:rsid w:val="00C07C67"/>
    <w:rsid w:val="00C07DD9"/>
    <w:rsid w:val="00C103E4"/>
    <w:rsid w:val="00C10B44"/>
    <w:rsid w:val="00C10D26"/>
    <w:rsid w:val="00C1132F"/>
    <w:rsid w:val="00C1142C"/>
    <w:rsid w:val="00C1330C"/>
    <w:rsid w:val="00C139B3"/>
    <w:rsid w:val="00C153DF"/>
    <w:rsid w:val="00C155DA"/>
    <w:rsid w:val="00C15B12"/>
    <w:rsid w:val="00C15BA4"/>
    <w:rsid w:val="00C171C3"/>
    <w:rsid w:val="00C17EE2"/>
    <w:rsid w:val="00C213D0"/>
    <w:rsid w:val="00C21E3B"/>
    <w:rsid w:val="00C2219D"/>
    <w:rsid w:val="00C2236E"/>
    <w:rsid w:val="00C2462B"/>
    <w:rsid w:val="00C24E80"/>
    <w:rsid w:val="00C250C7"/>
    <w:rsid w:val="00C25195"/>
    <w:rsid w:val="00C258B6"/>
    <w:rsid w:val="00C25F27"/>
    <w:rsid w:val="00C26E00"/>
    <w:rsid w:val="00C27262"/>
    <w:rsid w:val="00C27340"/>
    <w:rsid w:val="00C277D0"/>
    <w:rsid w:val="00C27F33"/>
    <w:rsid w:val="00C3001A"/>
    <w:rsid w:val="00C3078D"/>
    <w:rsid w:val="00C30DB2"/>
    <w:rsid w:val="00C31C4D"/>
    <w:rsid w:val="00C3213C"/>
    <w:rsid w:val="00C32311"/>
    <w:rsid w:val="00C32D63"/>
    <w:rsid w:val="00C34DAF"/>
    <w:rsid w:val="00C35058"/>
    <w:rsid w:val="00C35B1A"/>
    <w:rsid w:val="00C364DE"/>
    <w:rsid w:val="00C3758F"/>
    <w:rsid w:val="00C4196C"/>
    <w:rsid w:val="00C41C7D"/>
    <w:rsid w:val="00C42386"/>
    <w:rsid w:val="00C42ED3"/>
    <w:rsid w:val="00C432D6"/>
    <w:rsid w:val="00C43BFA"/>
    <w:rsid w:val="00C46655"/>
    <w:rsid w:val="00C46A07"/>
    <w:rsid w:val="00C46B91"/>
    <w:rsid w:val="00C46C3C"/>
    <w:rsid w:val="00C4749F"/>
    <w:rsid w:val="00C47F4D"/>
    <w:rsid w:val="00C50192"/>
    <w:rsid w:val="00C50228"/>
    <w:rsid w:val="00C520C3"/>
    <w:rsid w:val="00C53C58"/>
    <w:rsid w:val="00C53E9E"/>
    <w:rsid w:val="00C544ED"/>
    <w:rsid w:val="00C544F0"/>
    <w:rsid w:val="00C55466"/>
    <w:rsid w:val="00C56743"/>
    <w:rsid w:val="00C56A08"/>
    <w:rsid w:val="00C56E4B"/>
    <w:rsid w:val="00C574FA"/>
    <w:rsid w:val="00C57624"/>
    <w:rsid w:val="00C57DF7"/>
    <w:rsid w:val="00C60337"/>
    <w:rsid w:val="00C6096F"/>
    <w:rsid w:val="00C616B8"/>
    <w:rsid w:val="00C61EC2"/>
    <w:rsid w:val="00C628D1"/>
    <w:rsid w:val="00C63023"/>
    <w:rsid w:val="00C63453"/>
    <w:rsid w:val="00C63743"/>
    <w:rsid w:val="00C63B9B"/>
    <w:rsid w:val="00C644F4"/>
    <w:rsid w:val="00C65023"/>
    <w:rsid w:val="00C65CA2"/>
    <w:rsid w:val="00C6612F"/>
    <w:rsid w:val="00C667B2"/>
    <w:rsid w:val="00C669E1"/>
    <w:rsid w:val="00C670BD"/>
    <w:rsid w:val="00C71AD5"/>
    <w:rsid w:val="00C71D7B"/>
    <w:rsid w:val="00C75786"/>
    <w:rsid w:val="00C76C6C"/>
    <w:rsid w:val="00C770CD"/>
    <w:rsid w:val="00C77369"/>
    <w:rsid w:val="00C779C2"/>
    <w:rsid w:val="00C80EC5"/>
    <w:rsid w:val="00C8203A"/>
    <w:rsid w:val="00C822BC"/>
    <w:rsid w:val="00C836DF"/>
    <w:rsid w:val="00C83CEA"/>
    <w:rsid w:val="00C84B6B"/>
    <w:rsid w:val="00C84EEA"/>
    <w:rsid w:val="00C86BB9"/>
    <w:rsid w:val="00C8772C"/>
    <w:rsid w:val="00C91660"/>
    <w:rsid w:val="00C91D41"/>
    <w:rsid w:val="00C91E1D"/>
    <w:rsid w:val="00C925C4"/>
    <w:rsid w:val="00C92EEA"/>
    <w:rsid w:val="00C9385A"/>
    <w:rsid w:val="00C93B2B"/>
    <w:rsid w:val="00C93C24"/>
    <w:rsid w:val="00C93F73"/>
    <w:rsid w:val="00C956E7"/>
    <w:rsid w:val="00C960C4"/>
    <w:rsid w:val="00CA058C"/>
    <w:rsid w:val="00CA0D56"/>
    <w:rsid w:val="00CA11C1"/>
    <w:rsid w:val="00CA3D99"/>
    <w:rsid w:val="00CA3DD9"/>
    <w:rsid w:val="00CA43FD"/>
    <w:rsid w:val="00CA48F0"/>
    <w:rsid w:val="00CA5395"/>
    <w:rsid w:val="00CA64D3"/>
    <w:rsid w:val="00CA6696"/>
    <w:rsid w:val="00CA6DD8"/>
    <w:rsid w:val="00CA7D0A"/>
    <w:rsid w:val="00CA7D36"/>
    <w:rsid w:val="00CB0F5A"/>
    <w:rsid w:val="00CB14EA"/>
    <w:rsid w:val="00CB18EB"/>
    <w:rsid w:val="00CB1F2D"/>
    <w:rsid w:val="00CB2085"/>
    <w:rsid w:val="00CB22AF"/>
    <w:rsid w:val="00CB2A94"/>
    <w:rsid w:val="00CB2ACB"/>
    <w:rsid w:val="00CB358C"/>
    <w:rsid w:val="00CB3AA6"/>
    <w:rsid w:val="00CB441E"/>
    <w:rsid w:val="00CC0468"/>
    <w:rsid w:val="00CC0E0E"/>
    <w:rsid w:val="00CC15CF"/>
    <w:rsid w:val="00CC19C4"/>
    <w:rsid w:val="00CC2722"/>
    <w:rsid w:val="00CC2946"/>
    <w:rsid w:val="00CC326A"/>
    <w:rsid w:val="00CC37B4"/>
    <w:rsid w:val="00CC3803"/>
    <w:rsid w:val="00CC3A00"/>
    <w:rsid w:val="00CC5BF7"/>
    <w:rsid w:val="00CC5E65"/>
    <w:rsid w:val="00CC6257"/>
    <w:rsid w:val="00CC6318"/>
    <w:rsid w:val="00CC6611"/>
    <w:rsid w:val="00CC72E9"/>
    <w:rsid w:val="00CC7919"/>
    <w:rsid w:val="00CD0A80"/>
    <w:rsid w:val="00CD2572"/>
    <w:rsid w:val="00CD25C2"/>
    <w:rsid w:val="00CD286E"/>
    <w:rsid w:val="00CD446F"/>
    <w:rsid w:val="00CD489F"/>
    <w:rsid w:val="00CD4D4E"/>
    <w:rsid w:val="00CD4E5F"/>
    <w:rsid w:val="00CD519F"/>
    <w:rsid w:val="00CD5F96"/>
    <w:rsid w:val="00CD7CFC"/>
    <w:rsid w:val="00CE0E8A"/>
    <w:rsid w:val="00CE1A1A"/>
    <w:rsid w:val="00CE1BD8"/>
    <w:rsid w:val="00CE24E5"/>
    <w:rsid w:val="00CE393D"/>
    <w:rsid w:val="00CE41DB"/>
    <w:rsid w:val="00CE46F7"/>
    <w:rsid w:val="00CE4778"/>
    <w:rsid w:val="00CE4D96"/>
    <w:rsid w:val="00CE5B26"/>
    <w:rsid w:val="00CE65BC"/>
    <w:rsid w:val="00CE6A41"/>
    <w:rsid w:val="00CE70BA"/>
    <w:rsid w:val="00CE7477"/>
    <w:rsid w:val="00CF14F0"/>
    <w:rsid w:val="00CF1E82"/>
    <w:rsid w:val="00CF23D6"/>
    <w:rsid w:val="00CF359F"/>
    <w:rsid w:val="00CF3702"/>
    <w:rsid w:val="00CF46E0"/>
    <w:rsid w:val="00CF5151"/>
    <w:rsid w:val="00CF58ED"/>
    <w:rsid w:val="00CF5A22"/>
    <w:rsid w:val="00CF65EE"/>
    <w:rsid w:val="00CF725B"/>
    <w:rsid w:val="00CF75FB"/>
    <w:rsid w:val="00D02573"/>
    <w:rsid w:val="00D032B2"/>
    <w:rsid w:val="00D05D83"/>
    <w:rsid w:val="00D068E1"/>
    <w:rsid w:val="00D06DCC"/>
    <w:rsid w:val="00D07068"/>
    <w:rsid w:val="00D077B8"/>
    <w:rsid w:val="00D078C4"/>
    <w:rsid w:val="00D07A4A"/>
    <w:rsid w:val="00D102BF"/>
    <w:rsid w:val="00D113CF"/>
    <w:rsid w:val="00D131A7"/>
    <w:rsid w:val="00D132E8"/>
    <w:rsid w:val="00D13430"/>
    <w:rsid w:val="00D13B8C"/>
    <w:rsid w:val="00D14DB8"/>
    <w:rsid w:val="00D15323"/>
    <w:rsid w:val="00D15A36"/>
    <w:rsid w:val="00D15A47"/>
    <w:rsid w:val="00D15EA5"/>
    <w:rsid w:val="00D1726C"/>
    <w:rsid w:val="00D17559"/>
    <w:rsid w:val="00D1794C"/>
    <w:rsid w:val="00D17B0E"/>
    <w:rsid w:val="00D17BC5"/>
    <w:rsid w:val="00D2012A"/>
    <w:rsid w:val="00D20445"/>
    <w:rsid w:val="00D207E9"/>
    <w:rsid w:val="00D20C48"/>
    <w:rsid w:val="00D2100B"/>
    <w:rsid w:val="00D22228"/>
    <w:rsid w:val="00D2246A"/>
    <w:rsid w:val="00D228B3"/>
    <w:rsid w:val="00D229B8"/>
    <w:rsid w:val="00D22D7F"/>
    <w:rsid w:val="00D23AC9"/>
    <w:rsid w:val="00D24220"/>
    <w:rsid w:val="00D2553E"/>
    <w:rsid w:val="00D256F9"/>
    <w:rsid w:val="00D25FE5"/>
    <w:rsid w:val="00D26084"/>
    <w:rsid w:val="00D26652"/>
    <w:rsid w:val="00D273D3"/>
    <w:rsid w:val="00D27C4B"/>
    <w:rsid w:val="00D30554"/>
    <w:rsid w:val="00D3089E"/>
    <w:rsid w:val="00D3103F"/>
    <w:rsid w:val="00D315AB"/>
    <w:rsid w:val="00D31639"/>
    <w:rsid w:val="00D31889"/>
    <w:rsid w:val="00D31A52"/>
    <w:rsid w:val="00D31A76"/>
    <w:rsid w:val="00D31D7A"/>
    <w:rsid w:val="00D3206B"/>
    <w:rsid w:val="00D33B14"/>
    <w:rsid w:val="00D33E60"/>
    <w:rsid w:val="00D340AB"/>
    <w:rsid w:val="00D35EAA"/>
    <w:rsid w:val="00D36D93"/>
    <w:rsid w:val="00D375DC"/>
    <w:rsid w:val="00D37727"/>
    <w:rsid w:val="00D37DA5"/>
    <w:rsid w:val="00D4074A"/>
    <w:rsid w:val="00D40F72"/>
    <w:rsid w:val="00D411E5"/>
    <w:rsid w:val="00D430AD"/>
    <w:rsid w:val="00D434D4"/>
    <w:rsid w:val="00D4461E"/>
    <w:rsid w:val="00D454A8"/>
    <w:rsid w:val="00D45967"/>
    <w:rsid w:val="00D460E7"/>
    <w:rsid w:val="00D47238"/>
    <w:rsid w:val="00D47FA8"/>
    <w:rsid w:val="00D5003A"/>
    <w:rsid w:val="00D500AA"/>
    <w:rsid w:val="00D51E88"/>
    <w:rsid w:val="00D51FBF"/>
    <w:rsid w:val="00D535E5"/>
    <w:rsid w:val="00D54148"/>
    <w:rsid w:val="00D56AB5"/>
    <w:rsid w:val="00D5725D"/>
    <w:rsid w:val="00D57C9C"/>
    <w:rsid w:val="00D60AA1"/>
    <w:rsid w:val="00D614DE"/>
    <w:rsid w:val="00D61798"/>
    <w:rsid w:val="00D63ABC"/>
    <w:rsid w:val="00D65F1A"/>
    <w:rsid w:val="00D6682E"/>
    <w:rsid w:val="00D67141"/>
    <w:rsid w:val="00D675F1"/>
    <w:rsid w:val="00D6763E"/>
    <w:rsid w:val="00D723E8"/>
    <w:rsid w:val="00D73043"/>
    <w:rsid w:val="00D735AE"/>
    <w:rsid w:val="00D73660"/>
    <w:rsid w:val="00D73B96"/>
    <w:rsid w:val="00D73BAE"/>
    <w:rsid w:val="00D74154"/>
    <w:rsid w:val="00D75735"/>
    <w:rsid w:val="00D760C2"/>
    <w:rsid w:val="00D76511"/>
    <w:rsid w:val="00D7663C"/>
    <w:rsid w:val="00D77D37"/>
    <w:rsid w:val="00D8011B"/>
    <w:rsid w:val="00D803BD"/>
    <w:rsid w:val="00D803F0"/>
    <w:rsid w:val="00D80807"/>
    <w:rsid w:val="00D809A6"/>
    <w:rsid w:val="00D83654"/>
    <w:rsid w:val="00D83A99"/>
    <w:rsid w:val="00D84AEC"/>
    <w:rsid w:val="00D84D24"/>
    <w:rsid w:val="00D84EAC"/>
    <w:rsid w:val="00D850A2"/>
    <w:rsid w:val="00D851B8"/>
    <w:rsid w:val="00D852F1"/>
    <w:rsid w:val="00D85D16"/>
    <w:rsid w:val="00D86917"/>
    <w:rsid w:val="00D86F63"/>
    <w:rsid w:val="00D8739D"/>
    <w:rsid w:val="00D87B35"/>
    <w:rsid w:val="00D87BAE"/>
    <w:rsid w:val="00D91573"/>
    <w:rsid w:val="00D91AF4"/>
    <w:rsid w:val="00D9219E"/>
    <w:rsid w:val="00D9250C"/>
    <w:rsid w:val="00D92A65"/>
    <w:rsid w:val="00D92F9A"/>
    <w:rsid w:val="00D9427D"/>
    <w:rsid w:val="00D9455A"/>
    <w:rsid w:val="00D9465D"/>
    <w:rsid w:val="00D951FE"/>
    <w:rsid w:val="00D958FD"/>
    <w:rsid w:val="00D96128"/>
    <w:rsid w:val="00D97B42"/>
    <w:rsid w:val="00DA090C"/>
    <w:rsid w:val="00DA0BF8"/>
    <w:rsid w:val="00DA1A23"/>
    <w:rsid w:val="00DA1DA2"/>
    <w:rsid w:val="00DA25B7"/>
    <w:rsid w:val="00DA2ACF"/>
    <w:rsid w:val="00DA2D3D"/>
    <w:rsid w:val="00DA3520"/>
    <w:rsid w:val="00DA3551"/>
    <w:rsid w:val="00DA36EE"/>
    <w:rsid w:val="00DA38D2"/>
    <w:rsid w:val="00DA3A1D"/>
    <w:rsid w:val="00DA452E"/>
    <w:rsid w:val="00DA5128"/>
    <w:rsid w:val="00DA610C"/>
    <w:rsid w:val="00DA70EB"/>
    <w:rsid w:val="00DB0214"/>
    <w:rsid w:val="00DB05F2"/>
    <w:rsid w:val="00DB1171"/>
    <w:rsid w:val="00DB1A76"/>
    <w:rsid w:val="00DB2574"/>
    <w:rsid w:val="00DB304D"/>
    <w:rsid w:val="00DB308D"/>
    <w:rsid w:val="00DB3CF2"/>
    <w:rsid w:val="00DB4261"/>
    <w:rsid w:val="00DB4CB9"/>
    <w:rsid w:val="00DB5884"/>
    <w:rsid w:val="00DB5F40"/>
    <w:rsid w:val="00DB74AF"/>
    <w:rsid w:val="00DB7786"/>
    <w:rsid w:val="00DC2353"/>
    <w:rsid w:val="00DC3D3C"/>
    <w:rsid w:val="00DC4206"/>
    <w:rsid w:val="00DC55FE"/>
    <w:rsid w:val="00DC59F6"/>
    <w:rsid w:val="00DC5BC1"/>
    <w:rsid w:val="00DC6750"/>
    <w:rsid w:val="00DC6EFB"/>
    <w:rsid w:val="00DC7DD7"/>
    <w:rsid w:val="00DD0CCB"/>
    <w:rsid w:val="00DD1E47"/>
    <w:rsid w:val="00DD255C"/>
    <w:rsid w:val="00DD2F4F"/>
    <w:rsid w:val="00DD3E08"/>
    <w:rsid w:val="00DD4253"/>
    <w:rsid w:val="00DD4AEA"/>
    <w:rsid w:val="00DD512B"/>
    <w:rsid w:val="00DD5B6E"/>
    <w:rsid w:val="00DD61A9"/>
    <w:rsid w:val="00DD6535"/>
    <w:rsid w:val="00DD6EF1"/>
    <w:rsid w:val="00DD719A"/>
    <w:rsid w:val="00DD7502"/>
    <w:rsid w:val="00DD7D9A"/>
    <w:rsid w:val="00DE03F4"/>
    <w:rsid w:val="00DE0803"/>
    <w:rsid w:val="00DE4958"/>
    <w:rsid w:val="00DE5444"/>
    <w:rsid w:val="00DE5B09"/>
    <w:rsid w:val="00DE5FDF"/>
    <w:rsid w:val="00DE61DC"/>
    <w:rsid w:val="00DE686C"/>
    <w:rsid w:val="00DE6FD9"/>
    <w:rsid w:val="00DE7902"/>
    <w:rsid w:val="00DE7E31"/>
    <w:rsid w:val="00DF00DC"/>
    <w:rsid w:val="00DF18A2"/>
    <w:rsid w:val="00DF1E1D"/>
    <w:rsid w:val="00DF3EE4"/>
    <w:rsid w:val="00DF4F95"/>
    <w:rsid w:val="00DF5F49"/>
    <w:rsid w:val="00DF75AF"/>
    <w:rsid w:val="00DF79C3"/>
    <w:rsid w:val="00DF7B94"/>
    <w:rsid w:val="00E00225"/>
    <w:rsid w:val="00E00BB4"/>
    <w:rsid w:val="00E00DA5"/>
    <w:rsid w:val="00E013C5"/>
    <w:rsid w:val="00E0261D"/>
    <w:rsid w:val="00E02A1B"/>
    <w:rsid w:val="00E04361"/>
    <w:rsid w:val="00E043F3"/>
    <w:rsid w:val="00E05081"/>
    <w:rsid w:val="00E0589B"/>
    <w:rsid w:val="00E05BF9"/>
    <w:rsid w:val="00E064FD"/>
    <w:rsid w:val="00E0765B"/>
    <w:rsid w:val="00E07B24"/>
    <w:rsid w:val="00E10414"/>
    <w:rsid w:val="00E1053A"/>
    <w:rsid w:val="00E10778"/>
    <w:rsid w:val="00E109E4"/>
    <w:rsid w:val="00E10B23"/>
    <w:rsid w:val="00E10FE5"/>
    <w:rsid w:val="00E11EC3"/>
    <w:rsid w:val="00E13870"/>
    <w:rsid w:val="00E13D46"/>
    <w:rsid w:val="00E13E6E"/>
    <w:rsid w:val="00E13F66"/>
    <w:rsid w:val="00E14DF5"/>
    <w:rsid w:val="00E15318"/>
    <w:rsid w:val="00E15DE8"/>
    <w:rsid w:val="00E16CC0"/>
    <w:rsid w:val="00E20542"/>
    <w:rsid w:val="00E207EA"/>
    <w:rsid w:val="00E21A8B"/>
    <w:rsid w:val="00E233C3"/>
    <w:rsid w:val="00E23F2F"/>
    <w:rsid w:val="00E243F0"/>
    <w:rsid w:val="00E24D89"/>
    <w:rsid w:val="00E24D9E"/>
    <w:rsid w:val="00E26700"/>
    <w:rsid w:val="00E26AF3"/>
    <w:rsid w:val="00E26BE9"/>
    <w:rsid w:val="00E276E0"/>
    <w:rsid w:val="00E3039C"/>
    <w:rsid w:val="00E314EA"/>
    <w:rsid w:val="00E324BE"/>
    <w:rsid w:val="00E32ADD"/>
    <w:rsid w:val="00E32AF3"/>
    <w:rsid w:val="00E32E58"/>
    <w:rsid w:val="00E3343B"/>
    <w:rsid w:val="00E33741"/>
    <w:rsid w:val="00E33FDA"/>
    <w:rsid w:val="00E36FE0"/>
    <w:rsid w:val="00E37873"/>
    <w:rsid w:val="00E40398"/>
    <w:rsid w:val="00E406D5"/>
    <w:rsid w:val="00E40979"/>
    <w:rsid w:val="00E41165"/>
    <w:rsid w:val="00E4177B"/>
    <w:rsid w:val="00E42791"/>
    <w:rsid w:val="00E42915"/>
    <w:rsid w:val="00E42C09"/>
    <w:rsid w:val="00E4343B"/>
    <w:rsid w:val="00E43CE9"/>
    <w:rsid w:val="00E445A3"/>
    <w:rsid w:val="00E44615"/>
    <w:rsid w:val="00E44953"/>
    <w:rsid w:val="00E45FBB"/>
    <w:rsid w:val="00E46192"/>
    <w:rsid w:val="00E46552"/>
    <w:rsid w:val="00E46F09"/>
    <w:rsid w:val="00E50203"/>
    <w:rsid w:val="00E50A3E"/>
    <w:rsid w:val="00E50E79"/>
    <w:rsid w:val="00E51A44"/>
    <w:rsid w:val="00E52180"/>
    <w:rsid w:val="00E52678"/>
    <w:rsid w:val="00E52ACF"/>
    <w:rsid w:val="00E53314"/>
    <w:rsid w:val="00E55559"/>
    <w:rsid w:val="00E561A0"/>
    <w:rsid w:val="00E56701"/>
    <w:rsid w:val="00E56BE0"/>
    <w:rsid w:val="00E56D21"/>
    <w:rsid w:val="00E56E4D"/>
    <w:rsid w:val="00E57302"/>
    <w:rsid w:val="00E609EA"/>
    <w:rsid w:val="00E62104"/>
    <w:rsid w:val="00E6227A"/>
    <w:rsid w:val="00E6274E"/>
    <w:rsid w:val="00E62754"/>
    <w:rsid w:val="00E62EE9"/>
    <w:rsid w:val="00E632A7"/>
    <w:rsid w:val="00E64D2D"/>
    <w:rsid w:val="00E65E05"/>
    <w:rsid w:val="00E66235"/>
    <w:rsid w:val="00E66333"/>
    <w:rsid w:val="00E663A9"/>
    <w:rsid w:val="00E67181"/>
    <w:rsid w:val="00E6723B"/>
    <w:rsid w:val="00E70DC5"/>
    <w:rsid w:val="00E72258"/>
    <w:rsid w:val="00E7263F"/>
    <w:rsid w:val="00E72A34"/>
    <w:rsid w:val="00E730CD"/>
    <w:rsid w:val="00E7466B"/>
    <w:rsid w:val="00E74AB1"/>
    <w:rsid w:val="00E75B81"/>
    <w:rsid w:val="00E76D5A"/>
    <w:rsid w:val="00E779BE"/>
    <w:rsid w:val="00E81430"/>
    <w:rsid w:val="00E81B33"/>
    <w:rsid w:val="00E825F4"/>
    <w:rsid w:val="00E8294E"/>
    <w:rsid w:val="00E829D3"/>
    <w:rsid w:val="00E83583"/>
    <w:rsid w:val="00E843A1"/>
    <w:rsid w:val="00E84884"/>
    <w:rsid w:val="00E84D1B"/>
    <w:rsid w:val="00E85455"/>
    <w:rsid w:val="00E86672"/>
    <w:rsid w:val="00E86B53"/>
    <w:rsid w:val="00E87186"/>
    <w:rsid w:val="00E900C3"/>
    <w:rsid w:val="00E90D48"/>
    <w:rsid w:val="00E9110B"/>
    <w:rsid w:val="00E91A71"/>
    <w:rsid w:val="00E91C19"/>
    <w:rsid w:val="00E91EFB"/>
    <w:rsid w:val="00E9210D"/>
    <w:rsid w:val="00E92297"/>
    <w:rsid w:val="00E925EB"/>
    <w:rsid w:val="00E92800"/>
    <w:rsid w:val="00E92C00"/>
    <w:rsid w:val="00E93783"/>
    <w:rsid w:val="00E937E2"/>
    <w:rsid w:val="00E9551A"/>
    <w:rsid w:val="00E955A8"/>
    <w:rsid w:val="00E955E6"/>
    <w:rsid w:val="00E95F07"/>
    <w:rsid w:val="00E9641A"/>
    <w:rsid w:val="00E9720F"/>
    <w:rsid w:val="00E9739B"/>
    <w:rsid w:val="00E97530"/>
    <w:rsid w:val="00EA0DCE"/>
    <w:rsid w:val="00EA2B6F"/>
    <w:rsid w:val="00EA2FC7"/>
    <w:rsid w:val="00EA324B"/>
    <w:rsid w:val="00EA3927"/>
    <w:rsid w:val="00EA3938"/>
    <w:rsid w:val="00EA4B5B"/>
    <w:rsid w:val="00EA5FF8"/>
    <w:rsid w:val="00EA608F"/>
    <w:rsid w:val="00EA686E"/>
    <w:rsid w:val="00EA6930"/>
    <w:rsid w:val="00EA7D28"/>
    <w:rsid w:val="00EB0CE8"/>
    <w:rsid w:val="00EB134A"/>
    <w:rsid w:val="00EB19D8"/>
    <w:rsid w:val="00EB2FF9"/>
    <w:rsid w:val="00EB3478"/>
    <w:rsid w:val="00EB38AA"/>
    <w:rsid w:val="00EB479A"/>
    <w:rsid w:val="00EB4B39"/>
    <w:rsid w:val="00EB4CF9"/>
    <w:rsid w:val="00EB4E29"/>
    <w:rsid w:val="00EB5D87"/>
    <w:rsid w:val="00EB6FE3"/>
    <w:rsid w:val="00EB7216"/>
    <w:rsid w:val="00EC0BE1"/>
    <w:rsid w:val="00EC1588"/>
    <w:rsid w:val="00EC7B46"/>
    <w:rsid w:val="00ED009E"/>
    <w:rsid w:val="00ED072F"/>
    <w:rsid w:val="00ED1A52"/>
    <w:rsid w:val="00ED20C7"/>
    <w:rsid w:val="00ED24A3"/>
    <w:rsid w:val="00ED2E2B"/>
    <w:rsid w:val="00ED36E1"/>
    <w:rsid w:val="00ED4D92"/>
    <w:rsid w:val="00ED5F5A"/>
    <w:rsid w:val="00ED7098"/>
    <w:rsid w:val="00ED7BD0"/>
    <w:rsid w:val="00EE0F65"/>
    <w:rsid w:val="00EE12B4"/>
    <w:rsid w:val="00EE158B"/>
    <w:rsid w:val="00EE27C8"/>
    <w:rsid w:val="00EE28ED"/>
    <w:rsid w:val="00EE30AF"/>
    <w:rsid w:val="00EE4B63"/>
    <w:rsid w:val="00EE4DC6"/>
    <w:rsid w:val="00EE4DCF"/>
    <w:rsid w:val="00EE5E3A"/>
    <w:rsid w:val="00EE670E"/>
    <w:rsid w:val="00EE67AE"/>
    <w:rsid w:val="00EE6D8B"/>
    <w:rsid w:val="00EE7343"/>
    <w:rsid w:val="00EE7684"/>
    <w:rsid w:val="00EF0782"/>
    <w:rsid w:val="00EF1264"/>
    <w:rsid w:val="00EF1F16"/>
    <w:rsid w:val="00EF231F"/>
    <w:rsid w:val="00EF3EB4"/>
    <w:rsid w:val="00EF4E53"/>
    <w:rsid w:val="00EF5CF5"/>
    <w:rsid w:val="00EF63E1"/>
    <w:rsid w:val="00EF64DC"/>
    <w:rsid w:val="00EF7B2B"/>
    <w:rsid w:val="00EF7FA7"/>
    <w:rsid w:val="00F0060D"/>
    <w:rsid w:val="00F00D9A"/>
    <w:rsid w:val="00F018AD"/>
    <w:rsid w:val="00F02D26"/>
    <w:rsid w:val="00F050D9"/>
    <w:rsid w:val="00F05AEE"/>
    <w:rsid w:val="00F05CFA"/>
    <w:rsid w:val="00F060C0"/>
    <w:rsid w:val="00F06DD2"/>
    <w:rsid w:val="00F077A6"/>
    <w:rsid w:val="00F07858"/>
    <w:rsid w:val="00F1034D"/>
    <w:rsid w:val="00F10DEF"/>
    <w:rsid w:val="00F1209F"/>
    <w:rsid w:val="00F12951"/>
    <w:rsid w:val="00F12DAD"/>
    <w:rsid w:val="00F13499"/>
    <w:rsid w:val="00F147D7"/>
    <w:rsid w:val="00F149C7"/>
    <w:rsid w:val="00F14CE7"/>
    <w:rsid w:val="00F14EE1"/>
    <w:rsid w:val="00F1544F"/>
    <w:rsid w:val="00F1546A"/>
    <w:rsid w:val="00F1631C"/>
    <w:rsid w:val="00F167C9"/>
    <w:rsid w:val="00F169B7"/>
    <w:rsid w:val="00F17B0E"/>
    <w:rsid w:val="00F20438"/>
    <w:rsid w:val="00F2050E"/>
    <w:rsid w:val="00F20E45"/>
    <w:rsid w:val="00F23688"/>
    <w:rsid w:val="00F246A1"/>
    <w:rsid w:val="00F256B2"/>
    <w:rsid w:val="00F25877"/>
    <w:rsid w:val="00F25A66"/>
    <w:rsid w:val="00F25E39"/>
    <w:rsid w:val="00F26FFB"/>
    <w:rsid w:val="00F26FFE"/>
    <w:rsid w:val="00F27349"/>
    <w:rsid w:val="00F302AF"/>
    <w:rsid w:val="00F3196A"/>
    <w:rsid w:val="00F31C32"/>
    <w:rsid w:val="00F32BC8"/>
    <w:rsid w:val="00F33578"/>
    <w:rsid w:val="00F337E9"/>
    <w:rsid w:val="00F33B2B"/>
    <w:rsid w:val="00F3417B"/>
    <w:rsid w:val="00F3439D"/>
    <w:rsid w:val="00F360F6"/>
    <w:rsid w:val="00F36B6F"/>
    <w:rsid w:val="00F37917"/>
    <w:rsid w:val="00F37955"/>
    <w:rsid w:val="00F37F39"/>
    <w:rsid w:val="00F40A77"/>
    <w:rsid w:val="00F40CC8"/>
    <w:rsid w:val="00F41440"/>
    <w:rsid w:val="00F41B8D"/>
    <w:rsid w:val="00F424F8"/>
    <w:rsid w:val="00F427E3"/>
    <w:rsid w:val="00F4287B"/>
    <w:rsid w:val="00F45791"/>
    <w:rsid w:val="00F46BD3"/>
    <w:rsid w:val="00F47185"/>
    <w:rsid w:val="00F478B2"/>
    <w:rsid w:val="00F47F8D"/>
    <w:rsid w:val="00F504DF"/>
    <w:rsid w:val="00F50788"/>
    <w:rsid w:val="00F50922"/>
    <w:rsid w:val="00F510DE"/>
    <w:rsid w:val="00F51216"/>
    <w:rsid w:val="00F51277"/>
    <w:rsid w:val="00F51486"/>
    <w:rsid w:val="00F51B83"/>
    <w:rsid w:val="00F51F6E"/>
    <w:rsid w:val="00F52AFB"/>
    <w:rsid w:val="00F52E13"/>
    <w:rsid w:val="00F53788"/>
    <w:rsid w:val="00F53F96"/>
    <w:rsid w:val="00F547BE"/>
    <w:rsid w:val="00F54FF6"/>
    <w:rsid w:val="00F5513E"/>
    <w:rsid w:val="00F55BA2"/>
    <w:rsid w:val="00F6006B"/>
    <w:rsid w:val="00F60FC5"/>
    <w:rsid w:val="00F6163C"/>
    <w:rsid w:val="00F61929"/>
    <w:rsid w:val="00F63AD4"/>
    <w:rsid w:val="00F63BDF"/>
    <w:rsid w:val="00F63F3F"/>
    <w:rsid w:val="00F64A50"/>
    <w:rsid w:val="00F64B26"/>
    <w:rsid w:val="00F65B86"/>
    <w:rsid w:val="00F6651E"/>
    <w:rsid w:val="00F66FA5"/>
    <w:rsid w:val="00F6724C"/>
    <w:rsid w:val="00F67349"/>
    <w:rsid w:val="00F67723"/>
    <w:rsid w:val="00F709BE"/>
    <w:rsid w:val="00F70BEA"/>
    <w:rsid w:val="00F70D31"/>
    <w:rsid w:val="00F70DD4"/>
    <w:rsid w:val="00F71678"/>
    <w:rsid w:val="00F71802"/>
    <w:rsid w:val="00F71A70"/>
    <w:rsid w:val="00F72640"/>
    <w:rsid w:val="00F72815"/>
    <w:rsid w:val="00F730E3"/>
    <w:rsid w:val="00F73F37"/>
    <w:rsid w:val="00F748BD"/>
    <w:rsid w:val="00F74A54"/>
    <w:rsid w:val="00F753BB"/>
    <w:rsid w:val="00F755E9"/>
    <w:rsid w:val="00F75A4D"/>
    <w:rsid w:val="00F76553"/>
    <w:rsid w:val="00F77059"/>
    <w:rsid w:val="00F77150"/>
    <w:rsid w:val="00F775A2"/>
    <w:rsid w:val="00F80007"/>
    <w:rsid w:val="00F80BAE"/>
    <w:rsid w:val="00F83C40"/>
    <w:rsid w:val="00F84242"/>
    <w:rsid w:val="00F84C4F"/>
    <w:rsid w:val="00F854C6"/>
    <w:rsid w:val="00F856C1"/>
    <w:rsid w:val="00F85FC6"/>
    <w:rsid w:val="00F86551"/>
    <w:rsid w:val="00F86EF9"/>
    <w:rsid w:val="00F86FA5"/>
    <w:rsid w:val="00F8740F"/>
    <w:rsid w:val="00F87941"/>
    <w:rsid w:val="00F87E56"/>
    <w:rsid w:val="00F909CD"/>
    <w:rsid w:val="00F90B91"/>
    <w:rsid w:val="00F91007"/>
    <w:rsid w:val="00F913B5"/>
    <w:rsid w:val="00F92B36"/>
    <w:rsid w:val="00F933D8"/>
    <w:rsid w:val="00F9346E"/>
    <w:rsid w:val="00F93610"/>
    <w:rsid w:val="00F9518B"/>
    <w:rsid w:val="00F9542F"/>
    <w:rsid w:val="00F95B5D"/>
    <w:rsid w:val="00F95BDC"/>
    <w:rsid w:val="00F95D83"/>
    <w:rsid w:val="00F963BF"/>
    <w:rsid w:val="00F96513"/>
    <w:rsid w:val="00F96F65"/>
    <w:rsid w:val="00F9724E"/>
    <w:rsid w:val="00F974D1"/>
    <w:rsid w:val="00FA09CE"/>
    <w:rsid w:val="00FA10E4"/>
    <w:rsid w:val="00FA16E0"/>
    <w:rsid w:val="00FA1990"/>
    <w:rsid w:val="00FA2869"/>
    <w:rsid w:val="00FA2CB5"/>
    <w:rsid w:val="00FA30A8"/>
    <w:rsid w:val="00FA30D8"/>
    <w:rsid w:val="00FA4416"/>
    <w:rsid w:val="00FA524A"/>
    <w:rsid w:val="00FA556B"/>
    <w:rsid w:val="00FA55E7"/>
    <w:rsid w:val="00FA59F0"/>
    <w:rsid w:val="00FA7459"/>
    <w:rsid w:val="00FB0236"/>
    <w:rsid w:val="00FB0300"/>
    <w:rsid w:val="00FB33B9"/>
    <w:rsid w:val="00FB36D3"/>
    <w:rsid w:val="00FB3801"/>
    <w:rsid w:val="00FB5BDA"/>
    <w:rsid w:val="00FB5F26"/>
    <w:rsid w:val="00FB61AC"/>
    <w:rsid w:val="00FB7294"/>
    <w:rsid w:val="00FB7894"/>
    <w:rsid w:val="00FB7C11"/>
    <w:rsid w:val="00FC006A"/>
    <w:rsid w:val="00FC0ECC"/>
    <w:rsid w:val="00FC1304"/>
    <w:rsid w:val="00FC16B8"/>
    <w:rsid w:val="00FC4397"/>
    <w:rsid w:val="00FC45D8"/>
    <w:rsid w:val="00FC4916"/>
    <w:rsid w:val="00FC4C50"/>
    <w:rsid w:val="00FC5495"/>
    <w:rsid w:val="00FC5B64"/>
    <w:rsid w:val="00FC602B"/>
    <w:rsid w:val="00FC6635"/>
    <w:rsid w:val="00FC7091"/>
    <w:rsid w:val="00FC7A8F"/>
    <w:rsid w:val="00FC7AB8"/>
    <w:rsid w:val="00FD001A"/>
    <w:rsid w:val="00FD055C"/>
    <w:rsid w:val="00FD05AD"/>
    <w:rsid w:val="00FD0610"/>
    <w:rsid w:val="00FD0666"/>
    <w:rsid w:val="00FD175C"/>
    <w:rsid w:val="00FD17A6"/>
    <w:rsid w:val="00FD24A6"/>
    <w:rsid w:val="00FD2AF6"/>
    <w:rsid w:val="00FD2D9E"/>
    <w:rsid w:val="00FD5303"/>
    <w:rsid w:val="00FD5722"/>
    <w:rsid w:val="00FD62B5"/>
    <w:rsid w:val="00FD6553"/>
    <w:rsid w:val="00FD67BA"/>
    <w:rsid w:val="00FD6B68"/>
    <w:rsid w:val="00FD7295"/>
    <w:rsid w:val="00FD7526"/>
    <w:rsid w:val="00FD7C5E"/>
    <w:rsid w:val="00FD7DE8"/>
    <w:rsid w:val="00FE1382"/>
    <w:rsid w:val="00FE1DBE"/>
    <w:rsid w:val="00FE2187"/>
    <w:rsid w:val="00FE320C"/>
    <w:rsid w:val="00FE3EF2"/>
    <w:rsid w:val="00FE5496"/>
    <w:rsid w:val="00FE5EB0"/>
    <w:rsid w:val="00FE64E4"/>
    <w:rsid w:val="00FE6ADD"/>
    <w:rsid w:val="00FE6F33"/>
    <w:rsid w:val="00FE74F9"/>
    <w:rsid w:val="00FF001B"/>
    <w:rsid w:val="00FF0F1E"/>
    <w:rsid w:val="00FF2102"/>
    <w:rsid w:val="00FF225C"/>
    <w:rsid w:val="00FF2A9C"/>
    <w:rsid w:val="00FF3128"/>
    <w:rsid w:val="00FF3E57"/>
    <w:rsid w:val="00FF4051"/>
    <w:rsid w:val="00FF4A1B"/>
    <w:rsid w:val="00FF55CC"/>
    <w:rsid w:val="00FF5D84"/>
    <w:rsid w:val="00FF6EDA"/>
    <w:rsid w:val="00FF74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0EDA84"/>
  <w15:docId w15:val="{F05CDA8C-DE77-48BB-8D6A-8FDB56D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DB5F40"/>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16"/>
      </w:numPr>
    </w:pPr>
  </w:style>
  <w:style w:type="paragraph" w:styleId="ListNumber">
    <w:name w:val="List Number"/>
    <w:basedOn w:val="Normal"/>
    <w:uiPriority w:val="1"/>
    <w:qFormat/>
    <w:rsid w:val="00894ACE"/>
    <w:pPr>
      <w:numPr>
        <w:numId w:val="17"/>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16"/>
      </w:numPr>
    </w:pPr>
  </w:style>
  <w:style w:type="paragraph" w:styleId="ListNumber2">
    <w:name w:val="List Number 2"/>
    <w:basedOn w:val="Normal"/>
    <w:uiPriority w:val="1"/>
    <w:qFormat/>
    <w:rsid w:val="00894ACE"/>
    <w:pPr>
      <w:numPr>
        <w:ilvl w:val="1"/>
        <w:numId w:val="17"/>
      </w:numPr>
    </w:pPr>
  </w:style>
  <w:style w:type="paragraph" w:styleId="ListNumber3">
    <w:name w:val="List Number 3"/>
    <w:basedOn w:val="Normal"/>
    <w:uiPriority w:val="1"/>
    <w:qFormat/>
    <w:rsid w:val="00894ACE"/>
    <w:pPr>
      <w:numPr>
        <w:ilvl w:val="2"/>
        <w:numId w:val="17"/>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9"/>
      </w:numPr>
    </w:pPr>
  </w:style>
  <w:style w:type="paragraph" w:customStyle="1" w:styleId="ParagraphBullet2">
    <w:name w:val="Paragraph Bullet 2"/>
    <w:basedOn w:val="Normal"/>
    <w:uiPriority w:val="1"/>
    <w:rsid w:val="00452E7B"/>
    <w:pPr>
      <w:numPr>
        <w:ilvl w:val="1"/>
        <w:numId w:val="9"/>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16"/>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5"/>
      </w:numPr>
      <w:spacing w:before="60" w:after="60"/>
    </w:pPr>
  </w:style>
  <w:style w:type="paragraph" w:customStyle="1" w:styleId="TableNumber2">
    <w:name w:val="Table Number 2"/>
    <w:basedOn w:val="ListNumber2"/>
    <w:uiPriority w:val="9"/>
    <w:qFormat/>
    <w:rsid w:val="00894ACE"/>
    <w:pPr>
      <w:numPr>
        <w:numId w:val="15"/>
      </w:numPr>
      <w:spacing w:before="60" w:after="60"/>
    </w:pPr>
  </w:style>
  <w:style w:type="paragraph" w:customStyle="1" w:styleId="TableNumber3">
    <w:name w:val="Table Number 3"/>
    <w:basedOn w:val="ListNumber3"/>
    <w:uiPriority w:val="9"/>
    <w:qFormat/>
    <w:rsid w:val="00894ACE"/>
    <w:pPr>
      <w:numPr>
        <w:numId w:val="15"/>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numbering" w:customStyle="1" w:styleId="GTParagraphBullet1">
    <w:name w:val="GT Paragraph Bullet1"/>
    <w:uiPriority w:val="99"/>
    <w:rsid w:val="009C5156"/>
  </w:style>
  <w:style w:type="character" w:customStyle="1" w:styleId="normaltextrun">
    <w:name w:val="normaltextrun"/>
    <w:basedOn w:val="DefaultParagraphFont"/>
    <w:rsid w:val="000135E3"/>
  </w:style>
  <w:style w:type="character" w:customStyle="1" w:styleId="eop">
    <w:name w:val="eop"/>
    <w:basedOn w:val="DefaultParagraphFont"/>
    <w:rsid w:val="0001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4657">
      <w:bodyDiv w:val="1"/>
      <w:marLeft w:val="0"/>
      <w:marRight w:val="0"/>
      <w:marTop w:val="0"/>
      <w:marBottom w:val="0"/>
      <w:divBdr>
        <w:top w:val="none" w:sz="0" w:space="0" w:color="auto"/>
        <w:left w:val="none" w:sz="0" w:space="0" w:color="auto"/>
        <w:bottom w:val="none" w:sz="0" w:space="0" w:color="auto"/>
        <w:right w:val="none" w:sz="0" w:space="0" w:color="auto"/>
      </w:divBdr>
    </w:div>
    <w:div w:id="80683644">
      <w:bodyDiv w:val="1"/>
      <w:marLeft w:val="0"/>
      <w:marRight w:val="0"/>
      <w:marTop w:val="0"/>
      <w:marBottom w:val="0"/>
      <w:divBdr>
        <w:top w:val="none" w:sz="0" w:space="0" w:color="auto"/>
        <w:left w:val="none" w:sz="0" w:space="0" w:color="auto"/>
        <w:bottom w:val="none" w:sz="0" w:space="0" w:color="auto"/>
        <w:right w:val="none" w:sz="0" w:space="0" w:color="auto"/>
      </w:divBdr>
    </w:div>
    <w:div w:id="97409895">
      <w:bodyDiv w:val="1"/>
      <w:marLeft w:val="0"/>
      <w:marRight w:val="0"/>
      <w:marTop w:val="0"/>
      <w:marBottom w:val="0"/>
      <w:divBdr>
        <w:top w:val="none" w:sz="0" w:space="0" w:color="auto"/>
        <w:left w:val="none" w:sz="0" w:space="0" w:color="auto"/>
        <w:bottom w:val="none" w:sz="0" w:space="0" w:color="auto"/>
        <w:right w:val="none" w:sz="0" w:space="0" w:color="auto"/>
      </w:divBdr>
    </w:div>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161551828">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270482075">
      <w:bodyDiv w:val="1"/>
      <w:marLeft w:val="0"/>
      <w:marRight w:val="0"/>
      <w:marTop w:val="0"/>
      <w:marBottom w:val="0"/>
      <w:divBdr>
        <w:top w:val="none" w:sz="0" w:space="0" w:color="auto"/>
        <w:left w:val="none" w:sz="0" w:space="0" w:color="auto"/>
        <w:bottom w:val="none" w:sz="0" w:space="0" w:color="auto"/>
        <w:right w:val="none" w:sz="0" w:space="0" w:color="auto"/>
      </w:divBdr>
    </w:div>
    <w:div w:id="292711139">
      <w:bodyDiv w:val="1"/>
      <w:marLeft w:val="0"/>
      <w:marRight w:val="0"/>
      <w:marTop w:val="0"/>
      <w:marBottom w:val="0"/>
      <w:divBdr>
        <w:top w:val="none" w:sz="0" w:space="0" w:color="auto"/>
        <w:left w:val="none" w:sz="0" w:space="0" w:color="auto"/>
        <w:bottom w:val="none" w:sz="0" w:space="0" w:color="auto"/>
        <w:right w:val="none" w:sz="0" w:space="0" w:color="auto"/>
      </w:divBdr>
    </w:div>
    <w:div w:id="401030483">
      <w:bodyDiv w:val="1"/>
      <w:marLeft w:val="0"/>
      <w:marRight w:val="0"/>
      <w:marTop w:val="0"/>
      <w:marBottom w:val="0"/>
      <w:divBdr>
        <w:top w:val="none" w:sz="0" w:space="0" w:color="auto"/>
        <w:left w:val="none" w:sz="0" w:space="0" w:color="auto"/>
        <w:bottom w:val="none" w:sz="0" w:space="0" w:color="auto"/>
        <w:right w:val="none" w:sz="0" w:space="0" w:color="auto"/>
      </w:divBdr>
    </w:div>
    <w:div w:id="471094764">
      <w:bodyDiv w:val="1"/>
      <w:marLeft w:val="0"/>
      <w:marRight w:val="0"/>
      <w:marTop w:val="0"/>
      <w:marBottom w:val="0"/>
      <w:divBdr>
        <w:top w:val="none" w:sz="0" w:space="0" w:color="auto"/>
        <w:left w:val="none" w:sz="0" w:space="0" w:color="auto"/>
        <w:bottom w:val="none" w:sz="0" w:space="0" w:color="auto"/>
        <w:right w:val="none" w:sz="0" w:space="0" w:color="auto"/>
      </w:divBdr>
    </w:div>
    <w:div w:id="75813456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006321525">
      <w:bodyDiv w:val="1"/>
      <w:marLeft w:val="0"/>
      <w:marRight w:val="0"/>
      <w:marTop w:val="0"/>
      <w:marBottom w:val="0"/>
      <w:divBdr>
        <w:top w:val="none" w:sz="0" w:space="0" w:color="auto"/>
        <w:left w:val="none" w:sz="0" w:space="0" w:color="auto"/>
        <w:bottom w:val="none" w:sz="0" w:space="0" w:color="auto"/>
        <w:right w:val="none" w:sz="0" w:space="0" w:color="auto"/>
      </w:divBdr>
    </w:div>
    <w:div w:id="1052340182">
      <w:bodyDiv w:val="1"/>
      <w:marLeft w:val="0"/>
      <w:marRight w:val="0"/>
      <w:marTop w:val="0"/>
      <w:marBottom w:val="0"/>
      <w:divBdr>
        <w:top w:val="none" w:sz="0" w:space="0" w:color="auto"/>
        <w:left w:val="none" w:sz="0" w:space="0" w:color="auto"/>
        <w:bottom w:val="none" w:sz="0" w:space="0" w:color="auto"/>
        <w:right w:val="none" w:sz="0" w:space="0" w:color="auto"/>
      </w:divBdr>
    </w:div>
    <w:div w:id="1098871041">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455565387">
      <w:bodyDiv w:val="1"/>
      <w:marLeft w:val="0"/>
      <w:marRight w:val="0"/>
      <w:marTop w:val="0"/>
      <w:marBottom w:val="0"/>
      <w:divBdr>
        <w:top w:val="none" w:sz="0" w:space="0" w:color="auto"/>
        <w:left w:val="none" w:sz="0" w:space="0" w:color="auto"/>
        <w:bottom w:val="none" w:sz="0" w:space="0" w:color="auto"/>
        <w:right w:val="none" w:sz="0" w:space="0" w:color="auto"/>
      </w:divBdr>
    </w:div>
    <w:div w:id="1497653528">
      <w:bodyDiv w:val="1"/>
      <w:marLeft w:val="0"/>
      <w:marRight w:val="0"/>
      <w:marTop w:val="0"/>
      <w:marBottom w:val="0"/>
      <w:divBdr>
        <w:top w:val="none" w:sz="0" w:space="0" w:color="auto"/>
        <w:left w:val="none" w:sz="0" w:space="0" w:color="auto"/>
        <w:bottom w:val="none" w:sz="0" w:space="0" w:color="auto"/>
        <w:right w:val="none" w:sz="0" w:space="0" w:color="auto"/>
      </w:divBdr>
    </w:div>
    <w:div w:id="1655722954">
      <w:bodyDiv w:val="1"/>
      <w:marLeft w:val="0"/>
      <w:marRight w:val="0"/>
      <w:marTop w:val="0"/>
      <w:marBottom w:val="0"/>
      <w:divBdr>
        <w:top w:val="none" w:sz="0" w:space="0" w:color="auto"/>
        <w:left w:val="none" w:sz="0" w:space="0" w:color="auto"/>
        <w:bottom w:val="none" w:sz="0" w:space="0" w:color="auto"/>
        <w:right w:val="none" w:sz="0" w:space="0" w:color="auto"/>
      </w:divBdr>
    </w:div>
    <w:div w:id="1781989542">
      <w:bodyDiv w:val="1"/>
      <w:marLeft w:val="0"/>
      <w:marRight w:val="0"/>
      <w:marTop w:val="0"/>
      <w:marBottom w:val="0"/>
      <w:divBdr>
        <w:top w:val="none" w:sz="0" w:space="0" w:color="auto"/>
        <w:left w:val="none" w:sz="0" w:space="0" w:color="auto"/>
        <w:bottom w:val="none" w:sz="0" w:space="0" w:color="auto"/>
        <w:right w:val="none" w:sz="0" w:space="0" w:color="auto"/>
      </w:divBdr>
    </w:div>
    <w:div w:id="1827933580">
      <w:bodyDiv w:val="1"/>
      <w:marLeft w:val="0"/>
      <w:marRight w:val="0"/>
      <w:marTop w:val="0"/>
      <w:marBottom w:val="0"/>
      <w:divBdr>
        <w:top w:val="none" w:sz="0" w:space="0" w:color="auto"/>
        <w:left w:val="none" w:sz="0" w:space="0" w:color="auto"/>
        <w:bottom w:val="none" w:sz="0" w:space="0" w:color="auto"/>
        <w:right w:val="none" w:sz="0" w:space="0" w:color="auto"/>
      </w:divBdr>
    </w:div>
    <w:div w:id="1920942128">
      <w:bodyDiv w:val="1"/>
      <w:marLeft w:val="0"/>
      <w:marRight w:val="0"/>
      <w:marTop w:val="0"/>
      <w:marBottom w:val="0"/>
      <w:divBdr>
        <w:top w:val="none" w:sz="0" w:space="0" w:color="auto"/>
        <w:left w:val="none" w:sz="0" w:space="0" w:color="auto"/>
        <w:bottom w:val="none" w:sz="0" w:space="0" w:color="auto"/>
        <w:right w:val="none" w:sz="0" w:space="0" w:color="auto"/>
      </w:divBdr>
    </w:div>
    <w:div w:id="1993948796">
      <w:bodyDiv w:val="1"/>
      <w:marLeft w:val="0"/>
      <w:marRight w:val="0"/>
      <w:marTop w:val="0"/>
      <w:marBottom w:val="0"/>
      <w:divBdr>
        <w:top w:val="none" w:sz="0" w:space="0" w:color="auto"/>
        <w:left w:val="none" w:sz="0" w:space="0" w:color="auto"/>
        <w:bottom w:val="none" w:sz="0" w:space="0" w:color="auto"/>
        <w:right w:val="none" w:sz="0" w:space="0" w:color="auto"/>
      </w:divBdr>
    </w:div>
    <w:div w:id="20541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7" ma:contentTypeDescription="Create a new document." ma:contentTypeScope="" ma:versionID="8a6271b6e7868462a18c7ba978f4a6f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ef94ac07dce36a407dbdd2c38f27c960"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B5A63-5DD0-4715-BA8E-E45669B66B23}">
  <ds:schemaRefs>
    <ds:schemaRef ds:uri="http://schemas.openxmlformats.org/officeDocument/2006/bibliography"/>
  </ds:schemaRefs>
</ds:datastoreItem>
</file>

<file path=customXml/itemProps2.xml><?xml version="1.0" encoding="utf-8"?>
<ds:datastoreItem xmlns:ds="http://schemas.openxmlformats.org/officeDocument/2006/customXml" ds:itemID="{B6E66D83-5230-4C9B-B457-BCF437C4CA77}">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3.xml><?xml version="1.0" encoding="utf-8"?>
<ds:datastoreItem xmlns:ds="http://schemas.openxmlformats.org/officeDocument/2006/customXml" ds:itemID="{32756A63-1050-41C9-A8ED-AA341B3AC3D6}">
  <ds:schemaRefs>
    <ds:schemaRef ds:uri="http://schemas.microsoft.com/sharepoint/v3/contenttype/forms"/>
  </ds:schemaRefs>
</ds:datastoreItem>
</file>

<file path=customXml/itemProps4.xml><?xml version="1.0" encoding="utf-8"?>
<ds:datastoreItem xmlns:ds="http://schemas.openxmlformats.org/officeDocument/2006/customXml" ds:itemID="{FE73092C-3405-4E3B-9EF6-EEBFAFE18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Letter_GTSL.dotm</Template>
  <TotalTime>73</TotalTime>
  <Pages>9</Pages>
  <Words>3320</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Apiwan Kaewlamed</cp:lastModifiedBy>
  <cp:revision>52</cp:revision>
  <cp:lastPrinted>2024-03-28T09:04:00Z</cp:lastPrinted>
  <dcterms:created xsi:type="dcterms:W3CDTF">2024-03-28T08:17:00Z</dcterms:created>
  <dcterms:modified xsi:type="dcterms:W3CDTF">2024-03-28T13:20:00Z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y fmtid="{D5CDD505-2E9C-101B-9397-08002B2CF9AE}" pid="4" name="MediaServiceImageTags">
    <vt:lpwstr/>
  </property>
</Properties>
</file>